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4978F" w14:textId="4B729B53" w:rsidR="00352B60" w:rsidRPr="00352B60" w:rsidRDefault="005F788F" w:rsidP="46EA87B4">
      <w:pPr>
        <w:rPr>
          <w:rFonts w:ascii="Franklin Gothic Book" w:eastAsia="Franklin Gothic Book" w:hAnsi="Franklin Gothic Book" w:cs="Franklin Gothic Book"/>
          <w:b/>
          <w:bCs/>
          <w:sz w:val="22"/>
          <w:szCs w:val="22"/>
          <w:u w:val="single"/>
        </w:rPr>
      </w:pPr>
      <w:r w:rsidRPr="46EA87B4">
        <w:rPr>
          <w:rFonts w:ascii="Franklin Gothic Book" w:eastAsia="Franklin Gothic Book" w:hAnsi="Franklin Gothic Book" w:cs="Franklin Gothic Book"/>
          <w:b/>
          <w:bCs/>
          <w:sz w:val="22"/>
          <w:szCs w:val="22"/>
          <w:u w:val="single"/>
        </w:rPr>
        <w:t xml:space="preserve">Educator RAP RTI Rubric </w:t>
      </w:r>
      <w:r w:rsidR="00352B60" w:rsidRPr="46EA87B4">
        <w:rPr>
          <w:rFonts w:ascii="Franklin Gothic Book" w:eastAsia="Franklin Gothic Book" w:hAnsi="Franklin Gothic Book" w:cs="Franklin Gothic Book"/>
          <w:b/>
          <w:bCs/>
          <w:sz w:val="22"/>
          <w:szCs w:val="22"/>
          <w:u w:val="single"/>
        </w:rPr>
        <w:t>Overview:</w:t>
      </w:r>
    </w:p>
    <w:p w14:paraId="2A115A90" w14:textId="17C22534" w:rsidR="000E676D" w:rsidRPr="00F9734D" w:rsidRDefault="000E676D" w:rsidP="46EA87B4">
      <w:pPr>
        <w:rPr>
          <w:rFonts w:ascii="Franklin Gothic Book" w:eastAsia="Franklin Gothic Book" w:hAnsi="Franklin Gothic Book" w:cs="Franklin Gothic Book"/>
          <w:sz w:val="22"/>
          <w:szCs w:val="22"/>
        </w:rPr>
      </w:pPr>
      <w:r w:rsidRPr="46EA87B4">
        <w:rPr>
          <w:rFonts w:ascii="Franklin Gothic Book" w:eastAsia="Franklin Gothic Book" w:hAnsi="Franklin Gothic Book" w:cs="Franklin Gothic Book"/>
          <w:sz w:val="22"/>
          <w:szCs w:val="22"/>
        </w:rPr>
        <w:t xml:space="preserve">The following </w:t>
      </w:r>
      <w:r w:rsidR="008B62D1" w:rsidRPr="46EA87B4">
        <w:rPr>
          <w:rFonts w:ascii="Franklin Gothic Book" w:eastAsia="Franklin Gothic Book" w:hAnsi="Franklin Gothic Book" w:cs="Franklin Gothic Book"/>
          <w:sz w:val="22"/>
          <w:szCs w:val="22"/>
        </w:rPr>
        <w:t xml:space="preserve">educator registered apprenticeship program </w:t>
      </w:r>
      <w:r w:rsidR="0071633D" w:rsidRPr="46EA87B4">
        <w:rPr>
          <w:rFonts w:ascii="Franklin Gothic Book" w:eastAsia="Franklin Gothic Book" w:hAnsi="Franklin Gothic Book" w:cs="Franklin Gothic Book"/>
          <w:sz w:val="22"/>
          <w:szCs w:val="22"/>
        </w:rPr>
        <w:t xml:space="preserve">related technical instruction </w:t>
      </w:r>
      <w:r w:rsidRPr="46EA87B4">
        <w:rPr>
          <w:rFonts w:ascii="Franklin Gothic Book" w:eastAsia="Franklin Gothic Book" w:hAnsi="Franklin Gothic Book" w:cs="Franklin Gothic Book"/>
          <w:sz w:val="22"/>
          <w:szCs w:val="22"/>
        </w:rPr>
        <w:t xml:space="preserve">rubric </w:t>
      </w:r>
      <w:r w:rsidR="0071633D" w:rsidRPr="46EA87B4">
        <w:rPr>
          <w:rFonts w:ascii="Franklin Gothic Book" w:eastAsia="Franklin Gothic Book" w:hAnsi="Franklin Gothic Book" w:cs="Franklin Gothic Book"/>
          <w:sz w:val="22"/>
          <w:szCs w:val="22"/>
        </w:rPr>
        <w:t>(</w:t>
      </w:r>
      <w:r w:rsidR="0071633D" w:rsidRPr="46EA87B4">
        <w:rPr>
          <w:rFonts w:ascii="Franklin Gothic Book" w:eastAsia="Franklin Gothic Book" w:hAnsi="Franklin Gothic Book" w:cs="Franklin Gothic Book"/>
          <w:b/>
          <w:bCs/>
          <w:sz w:val="22"/>
          <w:szCs w:val="22"/>
        </w:rPr>
        <w:t>educator RAP RTI rubric</w:t>
      </w:r>
      <w:r w:rsidR="0071633D" w:rsidRPr="46EA87B4">
        <w:rPr>
          <w:rFonts w:ascii="Franklin Gothic Book" w:eastAsia="Franklin Gothic Book" w:hAnsi="Franklin Gothic Book" w:cs="Franklin Gothic Book"/>
          <w:sz w:val="22"/>
          <w:szCs w:val="22"/>
        </w:rPr>
        <w:t xml:space="preserve">) </w:t>
      </w:r>
      <w:r w:rsidRPr="46EA87B4">
        <w:rPr>
          <w:rFonts w:ascii="Franklin Gothic Book" w:eastAsia="Franklin Gothic Book" w:hAnsi="Franklin Gothic Book" w:cs="Franklin Gothic Book"/>
          <w:sz w:val="22"/>
          <w:szCs w:val="22"/>
        </w:rPr>
        <w:t xml:space="preserve">guides </w:t>
      </w:r>
      <w:r w:rsidR="00504820" w:rsidRPr="46EA87B4">
        <w:rPr>
          <w:rFonts w:ascii="Franklin Gothic Book" w:eastAsia="Franklin Gothic Book" w:hAnsi="Franklin Gothic Book" w:cs="Franklin Gothic Book"/>
          <w:sz w:val="22"/>
          <w:szCs w:val="22"/>
        </w:rPr>
        <w:t>l</w:t>
      </w:r>
      <w:r w:rsidR="00EE0F3C" w:rsidRPr="46EA87B4">
        <w:rPr>
          <w:rFonts w:ascii="Franklin Gothic Book" w:eastAsia="Franklin Gothic Book" w:hAnsi="Franklin Gothic Book" w:cs="Franklin Gothic Book"/>
          <w:sz w:val="22"/>
          <w:szCs w:val="22"/>
        </w:rPr>
        <w:t xml:space="preserve">ocal </w:t>
      </w:r>
      <w:r w:rsidR="00504820" w:rsidRPr="46EA87B4">
        <w:rPr>
          <w:rFonts w:ascii="Franklin Gothic Book" w:eastAsia="Franklin Gothic Book" w:hAnsi="Franklin Gothic Book" w:cs="Franklin Gothic Book"/>
          <w:sz w:val="22"/>
          <w:szCs w:val="22"/>
        </w:rPr>
        <w:t>e</w:t>
      </w:r>
      <w:r w:rsidR="00EE0F3C" w:rsidRPr="46EA87B4">
        <w:rPr>
          <w:rFonts w:ascii="Franklin Gothic Book" w:eastAsia="Franklin Gothic Book" w:hAnsi="Franklin Gothic Book" w:cs="Franklin Gothic Book"/>
          <w:sz w:val="22"/>
          <w:szCs w:val="22"/>
        </w:rPr>
        <w:t xml:space="preserve">ducation </w:t>
      </w:r>
      <w:r w:rsidR="00504820" w:rsidRPr="46EA87B4">
        <w:rPr>
          <w:rFonts w:ascii="Franklin Gothic Book" w:eastAsia="Franklin Gothic Book" w:hAnsi="Franklin Gothic Book" w:cs="Franklin Gothic Book"/>
          <w:sz w:val="22"/>
          <w:szCs w:val="22"/>
        </w:rPr>
        <w:t>a</w:t>
      </w:r>
      <w:r w:rsidR="00EE0F3C" w:rsidRPr="46EA87B4">
        <w:rPr>
          <w:rFonts w:ascii="Franklin Gothic Book" w:eastAsia="Franklin Gothic Book" w:hAnsi="Franklin Gothic Book" w:cs="Franklin Gothic Book"/>
          <w:sz w:val="22"/>
          <w:szCs w:val="22"/>
        </w:rPr>
        <w:t>gencies</w:t>
      </w:r>
      <w:r w:rsidR="0071633D" w:rsidRPr="46EA87B4">
        <w:rPr>
          <w:rFonts w:ascii="Franklin Gothic Book" w:eastAsia="Franklin Gothic Book" w:hAnsi="Franklin Gothic Book" w:cs="Franklin Gothic Book"/>
          <w:sz w:val="22"/>
          <w:szCs w:val="22"/>
        </w:rPr>
        <w:t xml:space="preserve"> (LEAs)</w:t>
      </w:r>
      <w:r w:rsidR="008F1274" w:rsidRPr="46EA87B4">
        <w:rPr>
          <w:rFonts w:ascii="Franklin Gothic Book" w:eastAsia="Franklin Gothic Book" w:hAnsi="Franklin Gothic Book" w:cs="Franklin Gothic Book"/>
          <w:sz w:val="22"/>
          <w:szCs w:val="22"/>
        </w:rPr>
        <w:t xml:space="preserve"> </w:t>
      </w:r>
      <w:r w:rsidRPr="46EA87B4">
        <w:rPr>
          <w:rFonts w:ascii="Franklin Gothic Book" w:eastAsia="Franklin Gothic Book" w:hAnsi="Franklin Gothic Book" w:cs="Franklin Gothic Book"/>
          <w:sz w:val="22"/>
          <w:szCs w:val="22"/>
        </w:rPr>
        <w:t>in assessing progress against the</w:t>
      </w:r>
      <w:r w:rsidR="00621338" w:rsidRPr="46EA87B4">
        <w:rPr>
          <w:rFonts w:ascii="Franklin Gothic Book" w:eastAsia="Franklin Gothic Book" w:hAnsi="Franklin Gothic Book" w:cs="Franklin Gothic Book"/>
          <w:sz w:val="22"/>
          <w:szCs w:val="22"/>
        </w:rPr>
        <w:t xml:space="preserve"> </w:t>
      </w:r>
      <w:hyperlink r:id="rId11">
        <w:r w:rsidR="00A14E09" w:rsidRPr="46EA87B4">
          <w:rPr>
            <w:rStyle w:val="Hyperlink"/>
            <w:rFonts w:ascii="Franklin Gothic Book" w:eastAsia="Franklin Gothic Book" w:hAnsi="Franklin Gothic Book" w:cs="Franklin Gothic Book"/>
            <w:i/>
            <w:iCs/>
            <w:sz w:val="22"/>
            <w:szCs w:val="22"/>
          </w:rPr>
          <w:t>Idaho Core Teaching Standards as indicated in the Idaho Standards for Initial Certification of Professional School Personnel</w:t>
        </w:r>
      </w:hyperlink>
      <w:r w:rsidRPr="46EA87B4">
        <w:rPr>
          <w:rFonts w:ascii="Franklin Gothic Book" w:eastAsia="Franklin Gothic Book" w:hAnsi="Franklin Gothic Book" w:cs="Franklin Gothic Book"/>
          <w:sz w:val="22"/>
          <w:szCs w:val="22"/>
        </w:rPr>
        <w:t xml:space="preserve">. </w:t>
      </w:r>
      <w:r w:rsidR="006133F4" w:rsidRPr="46EA87B4">
        <w:rPr>
          <w:rFonts w:ascii="Franklin Gothic Book" w:eastAsia="Franklin Gothic Book" w:hAnsi="Franklin Gothic Book" w:cs="Franklin Gothic Book"/>
          <w:sz w:val="22"/>
          <w:szCs w:val="22"/>
        </w:rPr>
        <w:t xml:space="preserve">A teacher apprentice </w:t>
      </w:r>
      <w:r w:rsidR="006F40F2" w:rsidRPr="46EA87B4">
        <w:rPr>
          <w:rFonts w:ascii="Franklin Gothic Book" w:eastAsia="Franklin Gothic Book" w:hAnsi="Franklin Gothic Book" w:cs="Franklin Gothic Book"/>
          <w:sz w:val="22"/>
          <w:szCs w:val="22"/>
        </w:rPr>
        <w:t>must meet the</w:t>
      </w:r>
      <w:r w:rsidR="00CA2F93" w:rsidRPr="46EA87B4">
        <w:rPr>
          <w:rFonts w:ascii="Franklin Gothic Book" w:eastAsia="Franklin Gothic Book" w:hAnsi="Franklin Gothic Book" w:cs="Franklin Gothic Book"/>
          <w:sz w:val="22"/>
          <w:szCs w:val="22"/>
        </w:rPr>
        <w:t xml:space="preserve"> </w:t>
      </w:r>
      <w:r w:rsidR="009535F5" w:rsidRPr="46EA87B4">
        <w:rPr>
          <w:rFonts w:ascii="Franklin Gothic Book" w:eastAsia="Franklin Gothic Book" w:hAnsi="Franklin Gothic Book" w:cs="Franklin Gothic Book"/>
          <w:sz w:val="22"/>
          <w:szCs w:val="22"/>
        </w:rPr>
        <w:t xml:space="preserve">minimum </w:t>
      </w:r>
      <w:r w:rsidR="00E75CDE" w:rsidRPr="46EA87B4">
        <w:rPr>
          <w:rFonts w:ascii="Franklin Gothic Book" w:eastAsia="Franklin Gothic Book" w:hAnsi="Franklin Gothic Book" w:cs="Franklin Gothic Book"/>
          <w:sz w:val="22"/>
          <w:szCs w:val="22"/>
        </w:rPr>
        <w:t>requirements of proficiency</w:t>
      </w:r>
      <w:r w:rsidR="006F40F2" w:rsidRPr="46EA87B4">
        <w:rPr>
          <w:rFonts w:ascii="Franklin Gothic Book" w:eastAsia="Franklin Gothic Book" w:hAnsi="Franklin Gothic Book" w:cs="Franklin Gothic Book"/>
          <w:sz w:val="22"/>
          <w:szCs w:val="22"/>
        </w:rPr>
        <w:t xml:space="preserve"> as outlined in this rubric</w:t>
      </w:r>
      <w:r w:rsidR="008F1274" w:rsidRPr="46EA87B4">
        <w:rPr>
          <w:rFonts w:ascii="Franklin Gothic Book" w:eastAsia="Franklin Gothic Book" w:hAnsi="Franklin Gothic Book" w:cs="Franklin Gothic Book"/>
          <w:sz w:val="22"/>
          <w:szCs w:val="22"/>
        </w:rPr>
        <w:t>,</w:t>
      </w:r>
      <w:r w:rsidR="00075E10" w:rsidRPr="46EA87B4">
        <w:rPr>
          <w:rFonts w:ascii="Franklin Gothic Book" w:eastAsia="Franklin Gothic Book" w:hAnsi="Franklin Gothic Book" w:cs="Franklin Gothic Book"/>
          <w:sz w:val="22"/>
          <w:szCs w:val="22"/>
        </w:rPr>
        <w:t xml:space="preserve"> </w:t>
      </w:r>
      <w:r w:rsidR="008F1274" w:rsidRPr="46EA87B4">
        <w:rPr>
          <w:rFonts w:ascii="Franklin Gothic Book" w:eastAsia="Franklin Gothic Book" w:hAnsi="Franklin Gothic Book" w:cs="Franklin Gothic Book"/>
          <w:sz w:val="22"/>
          <w:szCs w:val="22"/>
        </w:rPr>
        <w:t xml:space="preserve">aligning with the verbiage </w:t>
      </w:r>
      <w:r w:rsidR="00BD03DF" w:rsidRPr="46EA87B4">
        <w:rPr>
          <w:rFonts w:ascii="Franklin Gothic Book" w:eastAsia="Franklin Gothic Book" w:hAnsi="Franklin Gothic Book" w:cs="Franklin Gothic Book"/>
          <w:sz w:val="22"/>
          <w:szCs w:val="22"/>
        </w:rPr>
        <w:t>in the highlighted</w:t>
      </w:r>
      <w:r w:rsidR="0049022C" w:rsidRPr="46EA87B4">
        <w:rPr>
          <w:rFonts w:ascii="Franklin Gothic Book" w:eastAsia="Franklin Gothic Book" w:hAnsi="Franklin Gothic Book" w:cs="Franklin Gothic Book"/>
          <w:sz w:val="22"/>
          <w:szCs w:val="22"/>
        </w:rPr>
        <w:t xml:space="preserve"> blue</w:t>
      </w:r>
      <w:r w:rsidR="008F1274" w:rsidRPr="46EA87B4">
        <w:rPr>
          <w:rFonts w:ascii="Franklin Gothic Book" w:eastAsia="Franklin Gothic Book" w:hAnsi="Franklin Gothic Book" w:cs="Franklin Gothic Book"/>
          <w:sz w:val="22"/>
          <w:szCs w:val="22"/>
        </w:rPr>
        <w:t xml:space="preserve"> numerical</w:t>
      </w:r>
      <w:r w:rsidR="00472C44" w:rsidRPr="46EA87B4">
        <w:rPr>
          <w:rFonts w:ascii="Franklin Gothic Book" w:eastAsia="Franklin Gothic Book" w:hAnsi="Franklin Gothic Book" w:cs="Franklin Gothic Book"/>
          <w:sz w:val="22"/>
          <w:szCs w:val="22"/>
        </w:rPr>
        <w:t xml:space="preserve"> column</w:t>
      </w:r>
      <w:r w:rsidR="009535F5" w:rsidRPr="46EA87B4">
        <w:rPr>
          <w:rFonts w:ascii="Franklin Gothic Book" w:eastAsia="Franklin Gothic Book" w:hAnsi="Franklin Gothic Book" w:cs="Franklin Gothic Book"/>
          <w:sz w:val="22"/>
          <w:szCs w:val="22"/>
        </w:rPr>
        <w:t xml:space="preserve"> indicating a four (4)</w:t>
      </w:r>
      <w:r w:rsidR="006F40F2" w:rsidRPr="46EA87B4">
        <w:rPr>
          <w:rFonts w:ascii="Franklin Gothic Book" w:eastAsia="Franklin Gothic Book" w:hAnsi="Franklin Gothic Book" w:cs="Franklin Gothic Book"/>
          <w:sz w:val="22"/>
          <w:szCs w:val="22"/>
        </w:rPr>
        <w:t xml:space="preserve">. Assessment of </w:t>
      </w:r>
      <w:r w:rsidR="006133F4" w:rsidRPr="46EA87B4">
        <w:rPr>
          <w:rFonts w:ascii="Franklin Gothic Book" w:eastAsia="Franklin Gothic Book" w:hAnsi="Franklin Gothic Book" w:cs="Franklin Gothic Book"/>
          <w:sz w:val="22"/>
          <w:szCs w:val="22"/>
        </w:rPr>
        <w:t>teacher apprentice</w:t>
      </w:r>
      <w:r w:rsidR="006F40F2" w:rsidRPr="46EA87B4">
        <w:rPr>
          <w:rFonts w:ascii="Franklin Gothic Book" w:eastAsia="Franklin Gothic Book" w:hAnsi="Franklin Gothic Book" w:cs="Franklin Gothic Book"/>
          <w:sz w:val="22"/>
          <w:szCs w:val="22"/>
        </w:rPr>
        <w:t xml:space="preserve"> learning occurs throughout the </w:t>
      </w:r>
      <w:r w:rsidR="006133F4" w:rsidRPr="46EA87B4">
        <w:rPr>
          <w:rFonts w:ascii="Franklin Gothic Book" w:eastAsia="Franklin Gothic Book" w:hAnsi="Franklin Gothic Book" w:cs="Franklin Gothic Book"/>
          <w:sz w:val="22"/>
          <w:szCs w:val="22"/>
        </w:rPr>
        <w:t>educator</w:t>
      </w:r>
      <w:r w:rsidR="00BA024C" w:rsidRPr="46EA87B4">
        <w:rPr>
          <w:rFonts w:ascii="Franklin Gothic Book" w:eastAsia="Franklin Gothic Book" w:hAnsi="Franklin Gothic Book" w:cs="Franklin Gothic Book"/>
          <w:sz w:val="22"/>
          <w:szCs w:val="22"/>
        </w:rPr>
        <w:t xml:space="preserve"> registered apprenticeship program (educator RAP)</w:t>
      </w:r>
      <w:r w:rsidR="007C7C2B" w:rsidRPr="46EA87B4">
        <w:rPr>
          <w:rFonts w:ascii="Franklin Gothic Book" w:eastAsia="Franklin Gothic Book" w:hAnsi="Franklin Gothic Book" w:cs="Franklin Gothic Book"/>
          <w:sz w:val="22"/>
          <w:szCs w:val="22"/>
        </w:rPr>
        <w:t xml:space="preserve"> during the related technical instruction</w:t>
      </w:r>
      <w:r w:rsidR="0093567A" w:rsidRPr="46EA87B4">
        <w:rPr>
          <w:rFonts w:ascii="Franklin Gothic Book" w:eastAsia="Franklin Gothic Book" w:hAnsi="Franklin Gothic Book" w:cs="Franklin Gothic Book"/>
          <w:sz w:val="22"/>
          <w:szCs w:val="22"/>
        </w:rPr>
        <w:t xml:space="preserve"> (RTI)</w:t>
      </w:r>
      <w:r w:rsidR="007C7C2B" w:rsidRPr="46EA87B4">
        <w:rPr>
          <w:rFonts w:ascii="Franklin Gothic Book" w:eastAsia="Franklin Gothic Book" w:hAnsi="Franklin Gothic Book" w:cs="Franklin Gothic Book"/>
          <w:sz w:val="22"/>
          <w:szCs w:val="22"/>
        </w:rPr>
        <w:t xml:space="preserve"> and verified by the local education agency</w:t>
      </w:r>
      <w:r w:rsidR="00BA024C" w:rsidRPr="46EA87B4">
        <w:rPr>
          <w:rFonts w:ascii="Franklin Gothic Book" w:eastAsia="Franklin Gothic Book" w:hAnsi="Franklin Gothic Book" w:cs="Franklin Gothic Book"/>
          <w:sz w:val="22"/>
          <w:szCs w:val="22"/>
        </w:rPr>
        <w:t xml:space="preserve"> (LEA)</w:t>
      </w:r>
      <w:r w:rsidR="007C7C2B" w:rsidRPr="46EA87B4">
        <w:rPr>
          <w:rFonts w:ascii="Franklin Gothic Book" w:eastAsia="Franklin Gothic Book" w:hAnsi="Franklin Gothic Book" w:cs="Franklin Gothic Book"/>
          <w:sz w:val="22"/>
          <w:szCs w:val="22"/>
        </w:rPr>
        <w:t>. The</w:t>
      </w:r>
      <w:r w:rsidR="006F40F2" w:rsidRPr="46EA87B4">
        <w:rPr>
          <w:rFonts w:ascii="Franklin Gothic Book" w:eastAsia="Franklin Gothic Book" w:hAnsi="Franklin Gothic Book" w:cs="Franklin Gothic Book"/>
          <w:sz w:val="22"/>
          <w:szCs w:val="22"/>
        </w:rPr>
        <w:t xml:space="preserve"> </w:t>
      </w:r>
      <w:r w:rsidR="00BA024C" w:rsidRPr="46EA87B4">
        <w:rPr>
          <w:rFonts w:ascii="Franklin Gothic Book" w:eastAsia="Franklin Gothic Book" w:hAnsi="Franklin Gothic Book" w:cs="Franklin Gothic Book"/>
          <w:sz w:val="22"/>
          <w:szCs w:val="22"/>
        </w:rPr>
        <w:t>LEA</w:t>
      </w:r>
      <w:r w:rsidR="00504820" w:rsidRPr="46EA87B4">
        <w:rPr>
          <w:rFonts w:ascii="Franklin Gothic Book" w:eastAsia="Franklin Gothic Book" w:hAnsi="Franklin Gothic Book" w:cs="Franklin Gothic Book"/>
          <w:sz w:val="22"/>
          <w:szCs w:val="22"/>
        </w:rPr>
        <w:t xml:space="preserve"> </w:t>
      </w:r>
      <w:r w:rsidR="007C7C2B" w:rsidRPr="46EA87B4">
        <w:rPr>
          <w:rFonts w:ascii="Franklin Gothic Book" w:eastAsia="Franklin Gothic Book" w:hAnsi="Franklin Gothic Book" w:cs="Franklin Gothic Book"/>
          <w:sz w:val="22"/>
          <w:szCs w:val="22"/>
        </w:rPr>
        <w:t>will</w:t>
      </w:r>
      <w:r w:rsidR="006F40F2" w:rsidRPr="46EA87B4">
        <w:rPr>
          <w:rFonts w:ascii="Franklin Gothic Book" w:eastAsia="Franklin Gothic Book" w:hAnsi="Franklin Gothic Book" w:cs="Franklin Gothic Book"/>
          <w:sz w:val="22"/>
          <w:szCs w:val="22"/>
        </w:rPr>
        <w:t xml:space="preserve"> make consequential decisions regarding </w:t>
      </w:r>
      <w:r w:rsidR="00B81FC4" w:rsidRPr="46EA87B4">
        <w:rPr>
          <w:rFonts w:ascii="Franklin Gothic Book" w:eastAsia="Franklin Gothic Book" w:hAnsi="Franklin Gothic Book" w:cs="Franklin Gothic Book"/>
          <w:sz w:val="22"/>
          <w:szCs w:val="22"/>
        </w:rPr>
        <w:t xml:space="preserve">teacher apprentice </w:t>
      </w:r>
      <w:r w:rsidR="00A14E09" w:rsidRPr="46EA87B4">
        <w:rPr>
          <w:rFonts w:ascii="Franklin Gothic Book" w:eastAsia="Franklin Gothic Book" w:hAnsi="Franklin Gothic Book" w:cs="Franklin Gothic Book"/>
          <w:sz w:val="22"/>
          <w:szCs w:val="22"/>
        </w:rPr>
        <w:t>proficiency in the Idaho Core Teaching Standards.</w:t>
      </w:r>
      <w:r w:rsidR="006F40F2" w:rsidRPr="46EA87B4">
        <w:rPr>
          <w:rFonts w:ascii="Franklin Gothic Book" w:eastAsia="Franklin Gothic Book" w:hAnsi="Franklin Gothic Book" w:cs="Franklin Gothic Book"/>
          <w:sz w:val="22"/>
          <w:szCs w:val="22"/>
        </w:rPr>
        <w:t xml:space="preserve"> </w:t>
      </w:r>
      <w:r w:rsidR="008F1274" w:rsidRPr="46EA87B4">
        <w:rPr>
          <w:rFonts w:ascii="Franklin Gothic Book" w:eastAsia="Franklin Gothic Book" w:hAnsi="Franklin Gothic Book" w:cs="Franklin Gothic Book"/>
          <w:sz w:val="22"/>
          <w:szCs w:val="22"/>
        </w:rPr>
        <w:t xml:space="preserve"> </w:t>
      </w:r>
      <w:r w:rsidR="00D15430" w:rsidRPr="46EA87B4">
        <w:rPr>
          <w:rFonts w:ascii="Franklin Gothic Book" w:eastAsia="Franklin Gothic Book" w:hAnsi="Franklin Gothic Book" w:cs="Franklin Gothic Book"/>
          <w:sz w:val="22"/>
          <w:szCs w:val="22"/>
        </w:rPr>
        <w:t xml:space="preserve"> </w:t>
      </w:r>
    </w:p>
    <w:p w14:paraId="0B474CCC" w14:textId="77777777" w:rsidR="00B45069" w:rsidRDefault="00B45069" w:rsidP="46EA87B4">
      <w:pPr>
        <w:rPr>
          <w:rFonts w:ascii="Franklin Gothic Book" w:eastAsia="Franklin Gothic Book" w:hAnsi="Franklin Gothic Book" w:cs="Franklin Gothic Book"/>
          <w:sz w:val="22"/>
          <w:szCs w:val="22"/>
        </w:rPr>
      </w:pPr>
    </w:p>
    <w:p w14:paraId="221236C2" w14:textId="77777777" w:rsidR="00352B60" w:rsidRPr="00F9734D" w:rsidRDefault="00352B60" w:rsidP="46EA87B4">
      <w:pPr>
        <w:rPr>
          <w:rFonts w:ascii="Franklin Gothic Book" w:eastAsia="Franklin Gothic Book" w:hAnsi="Franklin Gothic Book" w:cs="Franklin Gothic Book"/>
          <w:sz w:val="22"/>
          <w:szCs w:val="22"/>
        </w:rPr>
      </w:pPr>
    </w:p>
    <w:p w14:paraId="05ADEB92" w14:textId="46B572C4" w:rsidR="00F5618F" w:rsidRPr="00F9734D" w:rsidRDefault="005F788F" w:rsidP="46EA87B4">
      <w:pPr>
        <w:rPr>
          <w:rFonts w:ascii="Franklin Gothic Book" w:eastAsia="Franklin Gothic Book" w:hAnsi="Franklin Gothic Book" w:cs="Franklin Gothic Book"/>
          <w:b/>
          <w:bCs/>
          <w:sz w:val="22"/>
          <w:szCs w:val="22"/>
          <w:u w:val="single"/>
        </w:rPr>
      </w:pPr>
      <w:r w:rsidRPr="46EA87B4">
        <w:rPr>
          <w:rFonts w:ascii="Franklin Gothic Book" w:eastAsia="Franklin Gothic Book" w:hAnsi="Franklin Gothic Book" w:cs="Franklin Gothic Book"/>
          <w:b/>
          <w:bCs/>
          <w:sz w:val="22"/>
          <w:szCs w:val="22"/>
          <w:u w:val="single"/>
        </w:rPr>
        <w:t xml:space="preserve">Educator RAP RTI Rubric </w:t>
      </w:r>
      <w:r w:rsidR="00840E53" w:rsidRPr="46EA87B4">
        <w:rPr>
          <w:rFonts w:ascii="Franklin Gothic Book" w:eastAsia="Franklin Gothic Book" w:hAnsi="Franklin Gothic Book" w:cs="Franklin Gothic Book"/>
          <w:b/>
          <w:bCs/>
          <w:sz w:val="22"/>
          <w:szCs w:val="22"/>
          <w:u w:val="single"/>
        </w:rPr>
        <w:t>Directions:</w:t>
      </w:r>
    </w:p>
    <w:p w14:paraId="69EE31DC" w14:textId="01C7C8BD" w:rsidR="00F9734D" w:rsidRPr="002B603D" w:rsidRDefault="00EE0B40" w:rsidP="46EA87B4">
      <w:pPr>
        <w:rPr>
          <w:rFonts w:ascii="Franklin Gothic Book" w:eastAsia="Franklin Gothic Book" w:hAnsi="Franklin Gothic Book" w:cs="Franklin Gothic Book"/>
          <w:sz w:val="22"/>
          <w:szCs w:val="22"/>
        </w:rPr>
      </w:pPr>
      <w:r w:rsidRPr="46EA87B4">
        <w:rPr>
          <w:rFonts w:ascii="Franklin Gothic Book" w:eastAsia="Franklin Gothic Book" w:hAnsi="Franklin Gothic Book" w:cs="Franklin Gothic Book"/>
          <w:sz w:val="22"/>
          <w:szCs w:val="22"/>
        </w:rPr>
        <w:t xml:space="preserve">The LEA will use the rubric below </w:t>
      </w:r>
      <w:r w:rsidR="00E079F6" w:rsidRPr="46EA87B4">
        <w:rPr>
          <w:rFonts w:ascii="Franklin Gothic Book" w:eastAsia="Franklin Gothic Book" w:hAnsi="Franklin Gothic Book" w:cs="Franklin Gothic Book"/>
          <w:sz w:val="22"/>
          <w:szCs w:val="22"/>
        </w:rPr>
        <w:t xml:space="preserve">at the end of each academic semester </w:t>
      </w:r>
      <w:r w:rsidRPr="46EA87B4">
        <w:rPr>
          <w:rFonts w:ascii="Franklin Gothic Book" w:eastAsia="Franklin Gothic Book" w:hAnsi="Franklin Gothic Book" w:cs="Franklin Gothic Book"/>
          <w:sz w:val="22"/>
          <w:szCs w:val="22"/>
        </w:rPr>
        <w:t>to determine the teacher apprentice’s p</w:t>
      </w:r>
      <w:r w:rsidR="00F0326B" w:rsidRPr="46EA87B4">
        <w:rPr>
          <w:rFonts w:ascii="Franklin Gothic Book" w:eastAsia="Franklin Gothic Book" w:hAnsi="Franklin Gothic Book" w:cs="Franklin Gothic Book"/>
          <w:sz w:val="22"/>
          <w:szCs w:val="22"/>
        </w:rPr>
        <w:t xml:space="preserve">roficiency for each of the Idaho Core Teaching Standards. A zero (0) indicates that the teacher apprentice is below the minimum requirement of proficiency. A one (1), two (2), or three (3) indicates that </w:t>
      </w:r>
      <w:r w:rsidR="000E5A85" w:rsidRPr="46EA87B4">
        <w:rPr>
          <w:rFonts w:ascii="Franklin Gothic Book" w:eastAsia="Franklin Gothic Book" w:hAnsi="Franklin Gothic Book" w:cs="Franklin Gothic Book"/>
          <w:sz w:val="22"/>
          <w:szCs w:val="22"/>
        </w:rPr>
        <w:t>the teacher apprentice is approaching</w:t>
      </w:r>
      <w:r w:rsidR="00676B95" w:rsidRPr="46EA87B4">
        <w:rPr>
          <w:rFonts w:ascii="Franklin Gothic Book" w:eastAsia="Franklin Gothic Book" w:hAnsi="Franklin Gothic Book" w:cs="Franklin Gothic Book"/>
          <w:sz w:val="22"/>
          <w:szCs w:val="22"/>
        </w:rPr>
        <w:t xml:space="preserve"> the minimum requirement of proficiency. </w:t>
      </w:r>
      <w:r w:rsidR="0083332D" w:rsidRPr="46EA87B4">
        <w:rPr>
          <w:rFonts w:ascii="Franklin Gothic Book" w:eastAsia="Franklin Gothic Book" w:hAnsi="Franklin Gothic Book" w:cs="Franklin Gothic Book"/>
          <w:sz w:val="22"/>
          <w:szCs w:val="22"/>
        </w:rPr>
        <w:t>A four (4) indicates that the teacher apprentice has met the minimum requirements of proficiency. A five (5) indicates that the teacher apprentice has exceeded the minimum requirements of proficiency. This</w:t>
      </w:r>
      <w:r w:rsidR="009B42BC" w:rsidRPr="46EA87B4">
        <w:rPr>
          <w:rFonts w:ascii="Franklin Gothic Book" w:eastAsia="Franklin Gothic Book" w:hAnsi="Franklin Gothic Book" w:cs="Franklin Gothic Book"/>
          <w:sz w:val="22"/>
          <w:szCs w:val="22"/>
        </w:rPr>
        <w:t xml:space="preserve"> numerical</w:t>
      </w:r>
      <w:r w:rsidR="0083332D" w:rsidRPr="46EA87B4">
        <w:rPr>
          <w:rFonts w:ascii="Franklin Gothic Book" w:eastAsia="Franklin Gothic Book" w:hAnsi="Franklin Gothic Book" w:cs="Franklin Gothic Book"/>
          <w:sz w:val="22"/>
          <w:szCs w:val="22"/>
        </w:rPr>
        <w:t xml:space="preserve"> data will be documented in the progress tracker that is emailed to the LEA every January and May/June</w:t>
      </w:r>
      <w:r w:rsidR="0059775E" w:rsidRPr="46EA87B4">
        <w:rPr>
          <w:rFonts w:ascii="Franklin Gothic Book" w:eastAsia="Franklin Gothic Book" w:hAnsi="Franklin Gothic Book" w:cs="Franklin Gothic Book"/>
          <w:sz w:val="22"/>
          <w:szCs w:val="22"/>
        </w:rPr>
        <w:t xml:space="preserve"> of the academic year by the board office.</w:t>
      </w:r>
    </w:p>
    <w:p w14:paraId="60452B23" w14:textId="562CFBB2" w:rsidR="00F9734D" w:rsidRPr="00B01285" w:rsidRDefault="00BA54E7" w:rsidP="46EA87B4">
      <w:pPr>
        <w:rPr>
          <w:rFonts w:ascii="Franklin Gothic Book" w:eastAsia="Franklin Gothic Book" w:hAnsi="Franklin Gothic Book" w:cs="Franklin Gothic Book"/>
          <w:sz w:val="22"/>
          <w:szCs w:val="22"/>
        </w:rPr>
      </w:pPr>
      <w:r>
        <w:rPr>
          <w:rFonts w:ascii="Times New Roman" w:hAnsi="Times New Roman" w:cs="Times New Roman"/>
          <w:sz w:val="20"/>
          <w:szCs w:val="20"/>
        </w:rPr>
        <w:pict w14:anchorId="575AEC6D">
          <v:rect id="_x0000_i1026" style="width:0;height:1.5pt" o:hralign="center" o:hrstd="t" o:hr="t" fillcolor="#a0a0a0" stroked="f"/>
        </w:pict>
      </w:r>
    </w:p>
    <w:p w14:paraId="3E998B84" w14:textId="6C93CD50" w:rsidR="000E676D" w:rsidRPr="00C177D8" w:rsidRDefault="00B45069" w:rsidP="00B45069">
      <w:pPr>
        <w:jc w:val="center"/>
        <w:rPr>
          <w:rFonts w:ascii="Times New Roman" w:hAnsi="Times New Roman" w:cs="Times New Roman"/>
          <w:b/>
          <w:bCs/>
        </w:rPr>
      </w:pPr>
      <w:r w:rsidRPr="00C177D8">
        <w:rPr>
          <w:rFonts w:ascii="Times New Roman" w:hAnsi="Times New Roman" w:cs="Times New Roman"/>
          <w:b/>
          <w:bCs/>
        </w:rPr>
        <w:t>Idaho Core Teaching Standards</w:t>
      </w:r>
    </w:p>
    <w:p w14:paraId="46A14886" w14:textId="77777777" w:rsidR="002B603D" w:rsidRDefault="002B603D" w:rsidP="00B45069">
      <w:pPr>
        <w:jc w:val="center"/>
        <w:rPr>
          <w:rFonts w:ascii="Times New Roman" w:hAnsi="Times New Roman" w:cs="Times New Roman"/>
          <w:b/>
          <w:bCs/>
          <w:sz w:val="22"/>
          <w:szCs w:val="22"/>
        </w:rPr>
      </w:pPr>
    </w:p>
    <w:tbl>
      <w:tblPr>
        <w:tblStyle w:val="TableGrid"/>
        <w:tblW w:w="14395" w:type="dxa"/>
        <w:tblLook w:val="04A0" w:firstRow="1" w:lastRow="0" w:firstColumn="1" w:lastColumn="0" w:noHBand="0" w:noVBand="1"/>
      </w:tblPr>
      <w:tblGrid>
        <w:gridCol w:w="1705"/>
        <w:gridCol w:w="2130"/>
        <w:gridCol w:w="2130"/>
        <w:gridCol w:w="2130"/>
        <w:gridCol w:w="3903"/>
        <w:gridCol w:w="2397"/>
      </w:tblGrid>
      <w:tr w:rsidR="002B603D" w:rsidRPr="004B7799" w14:paraId="32BE5776" w14:textId="77777777" w:rsidTr="004D0886">
        <w:trPr>
          <w:trHeight w:val="233"/>
        </w:trPr>
        <w:tc>
          <w:tcPr>
            <w:tcW w:w="14395" w:type="dxa"/>
            <w:gridSpan w:val="6"/>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268AB7EA" w14:textId="77777777"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1: Learner Development</w:t>
            </w:r>
          </w:p>
        </w:tc>
      </w:tr>
      <w:tr w:rsidR="002B603D" w:rsidRPr="004B7799" w14:paraId="30376CDD"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B2E2056"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39B4E3F"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381599E8"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2FBE3D0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380ACBFC"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31F148D" w14:textId="24D7A524"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0</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6ED2D7DA" w14:textId="7FE709A0"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1</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29AFA7D4" w14:textId="5D693E21"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2</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A6440F0" w14:textId="29814D55"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3</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131BF741" w14:textId="60808B72"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4</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32E937B4" w14:textId="3E727EE3"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308F7939"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28685F0" w14:textId="0A996A6C"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unaware of students’ developmental differences.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DCD2973" w14:textId="3A94720C"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aware that students develop differently.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2BBCB6A" w14:textId="6BE814C4"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can cite developmental theory.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977628C" w14:textId="41719E50"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recognized patterns of learning development that vary between students.</w:t>
            </w:r>
          </w:p>
        </w:tc>
        <w:tc>
          <w:tcPr>
            <w:tcW w:w="3903"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040C61D1" w14:textId="3ED3275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uses understandings of the developmental stages of learners to create and apply meaningful learning experiences. </w:t>
            </w:r>
            <w:r w:rsidRPr="004B7799">
              <w:rPr>
                <w:rFonts w:ascii="Times New Roman" w:hAnsi="Times New Roman" w:cs="Times New Roman"/>
                <w:color w:val="2F3138"/>
                <w:sz w:val="20"/>
                <w:szCs w:val="20"/>
              </w:rPr>
              <w:t xml:space="preserve">The teacher apprentice understands how learners grow and develop, recognizing that patterns of learning and development vary individually within and across the cognitive, linguistic, social, emotional, and physical areas, and designs </w:t>
            </w:r>
            <w:r w:rsidRPr="004B7799">
              <w:rPr>
                <w:rFonts w:ascii="Times New Roman" w:hAnsi="Times New Roman" w:cs="Times New Roman"/>
                <w:color w:val="2F3138"/>
                <w:sz w:val="20"/>
                <w:szCs w:val="20"/>
              </w:rPr>
              <w:lastRenderedPageBreak/>
              <w:t>and implements developmentally appropriate and challenging learning experiences.</w:t>
            </w:r>
          </w:p>
        </w:tc>
        <w:tc>
          <w:tcPr>
            <w:tcW w:w="2397"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A1130F1" w14:textId="459860D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lastRenderedPageBreak/>
              <w:t xml:space="preserve">The teacher apprentice incorporates perspectives of the child and their family/community to integrate new resources and strategies for learner development. </w:t>
            </w:r>
          </w:p>
        </w:tc>
      </w:tr>
      <w:tr w:rsidR="002B603D" w:rsidRPr="004B7799" w14:paraId="39143AAE" w14:textId="77777777" w:rsidTr="004D0886">
        <w:trPr>
          <w:trHeight w:val="233"/>
        </w:trPr>
        <w:tc>
          <w:tcPr>
            <w:tcW w:w="14395" w:type="dxa"/>
            <w:gridSpan w:val="6"/>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610FE014" w14:textId="2EFC19E8"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2: Learning Differences</w:t>
            </w:r>
          </w:p>
        </w:tc>
      </w:tr>
      <w:tr w:rsidR="002B603D" w:rsidRPr="004B7799" w14:paraId="2AC2240A"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581BEFC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2CA01C7"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5AB30562"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20E2757E"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1E115A2D"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74ED4F1F"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F016101"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02F3503D"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4B59E4B7"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52A80EEF"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451B820"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6B3282AE"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ABD2CD1" w14:textId="71AE72F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does not demonstrate value in recognizing commonalities and differences among learners.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66D17CE" w14:textId="6CC4FADC"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understands the value of recognizing commonalities and differences among learners.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237176D" w14:textId="225412E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can recognize learners’ commonalities and differences.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68A5F0E" w14:textId="73C12D52"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knows how to use understandings of learners’ commonalities. and differences to design inclusive learning experiences. </w:t>
            </w:r>
          </w:p>
        </w:tc>
        <w:tc>
          <w:tcPr>
            <w:tcW w:w="3903"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556D673E" w14:textId="43DC4CF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The teacher apprentice uses understanding of individual differences and diverse cultures and communities to ensure inclusive learning environments that enable each learner to meet high standards.</w:t>
            </w:r>
          </w:p>
        </w:tc>
        <w:tc>
          <w:tcPr>
            <w:tcW w:w="2397"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11E871E" w14:textId="7BAA1DB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engages learners in assessing their strengths and learning preferences and identifies various ways to promote each student’s growth. </w:t>
            </w:r>
          </w:p>
        </w:tc>
      </w:tr>
    </w:tbl>
    <w:p w14:paraId="7812A879" w14:textId="77777777" w:rsidR="000768CA" w:rsidRDefault="000768CA">
      <w:pPr>
        <w:rPr>
          <w:rFonts w:ascii="Times New Roman" w:hAnsi="Times New Roman" w:cs="Times New Roman"/>
          <w:b/>
          <w:bCs/>
          <w:sz w:val="20"/>
          <w:szCs w:val="20"/>
        </w:rPr>
      </w:pPr>
    </w:p>
    <w:p w14:paraId="27CDF688" w14:textId="77777777" w:rsidR="002B603D" w:rsidRDefault="002B603D">
      <w:pPr>
        <w:rPr>
          <w:rFonts w:ascii="Times New Roman" w:hAnsi="Times New Roman" w:cs="Times New Roman"/>
          <w:b/>
          <w:bCs/>
          <w:sz w:val="20"/>
          <w:szCs w:val="20"/>
        </w:rPr>
      </w:pPr>
    </w:p>
    <w:p w14:paraId="5E3736CD" w14:textId="448F2DA2" w:rsidR="46EA87B4" w:rsidRDefault="46EA87B4" w:rsidP="46EA87B4">
      <w:pPr>
        <w:rPr>
          <w:rFonts w:ascii="Times New Roman" w:hAnsi="Times New Roman" w:cs="Times New Roman"/>
          <w:b/>
          <w:bCs/>
          <w:sz w:val="20"/>
          <w:szCs w:val="20"/>
        </w:rPr>
      </w:pPr>
    </w:p>
    <w:p w14:paraId="40426ED7" w14:textId="5A346BA7" w:rsidR="46EA87B4" w:rsidRDefault="46EA87B4" w:rsidP="46EA87B4">
      <w:pPr>
        <w:rPr>
          <w:rFonts w:ascii="Times New Roman" w:hAnsi="Times New Roman" w:cs="Times New Roman"/>
          <w:b/>
          <w:bCs/>
          <w:sz w:val="20"/>
          <w:szCs w:val="20"/>
        </w:rPr>
      </w:pPr>
    </w:p>
    <w:p w14:paraId="6A13362B" w14:textId="30FBBF29" w:rsidR="46EA87B4" w:rsidRDefault="46EA87B4" w:rsidP="46EA87B4">
      <w:pPr>
        <w:rPr>
          <w:rFonts w:ascii="Times New Roman" w:hAnsi="Times New Roman" w:cs="Times New Roman"/>
          <w:b/>
          <w:bCs/>
          <w:sz w:val="20"/>
          <w:szCs w:val="20"/>
        </w:rPr>
      </w:pPr>
    </w:p>
    <w:p w14:paraId="5948376F" w14:textId="2505B108" w:rsidR="46EA87B4" w:rsidRDefault="46EA87B4" w:rsidP="46EA87B4">
      <w:pPr>
        <w:rPr>
          <w:rFonts w:ascii="Times New Roman" w:hAnsi="Times New Roman" w:cs="Times New Roman"/>
          <w:b/>
          <w:bCs/>
          <w:sz w:val="20"/>
          <w:szCs w:val="20"/>
        </w:rPr>
      </w:pPr>
    </w:p>
    <w:p w14:paraId="1E94064B" w14:textId="505E82A7" w:rsidR="46EA87B4" w:rsidRDefault="46EA87B4" w:rsidP="46EA87B4">
      <w:pPr>
        <w:rPr>
          <w:rFonts w:ascii="Times New Roman" w:hAnsi="Times New Roman" w:cs="Times New Roman"/>
          <w:b/>
          <w:bCs/>
          <w:sz w:val="20"/>
          <w:szCs w:val="20"/>
        </w:rPr>
      </w:pPr>
    </w:p>
    <w:p w14:paraId="5A552954" w14:textId="77777777" w:rsidR="002B603D" w:rsidRDefault="002B603D">
      <w:pPr>
        <w:rPr>
          <w:rFonts w:ascii="Times New Roman" w:hAnsi="Times New Roman" w:cs="Times New Roman"/>
          <w:b/>
          <w:bCs/>
          <w:sz w:val="20"/>
          <w:szCs w:val="20"/>
        </w:rPr>
      </w:pPr>
    </w:p>
    <w:p w14:paraId="2158E4D9"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736DEAEA" w14:textId="77777777" w:rsidTr="004D0886">
        <w:trPr>
          <w:trHeight w:val="233"/>
        </w:trPr>
        <w:tc>
          <w:tcPr>
            <w:tcW w:w="14395" w:type="dxa"/>
            <w:gridSpan w:val="6"/>
            <w:shd w:val="clear" w:color="auto" w:fill="A8D08D" w:themeFill="accent6" w:themeFillTint="99"/>
          </w:tcPr>
          <w:p w14:paraId="56FE436F" w14:textId="7CBE952C"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3: Learning Environments</w:t>
            </w:r>
          </w:p>
        </w:tc>
      </w:tr>
      <w:tr w:rsidR="002B603D" w:rsidRPr="004B7799" w14:paraId="3B9A3440" w14:textId="77777777" w:rsidTr="004D0886">
        <w:trPr>
          <w:trHeight w:val="233"/>
        </w:trPr>
        <w:tc>
          <w:tcPr>
            <w:tcW w:w="1705" w:type="dxa"/>
            <w:shd w:val="clear" w:color="auto" w:fill="C5E0B3" w:themeFill="accent6" w:themeFillTint="66"/>
          </w:tcPr>
          <w:p w14:paraId="5AD9FAEF"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777C7A4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7D6B5B91"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1AA4B400"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295622E3" w14:textId="77777777" w:rsidTr="004D0886">
        <w:trPr>
          <w:trHeight w:val="233"/>
        </w:trPr>
        <w:tc>
          <w:tcPr>
            <w:tcW w:w="1705" w:type="dxa"/>
            <w:shd w:val="clear" w:color="auto" w:fill="C5E0B3" w:themeFill="accent6" w:themeFillTint="66"/>
          </w:tcPr>
          <w:p w14:paraId="25D34355"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34CAE3AE"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668D4ED8"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56169CFE"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3C91A506"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3A74AE79"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1030CB72" w14:textId="77777777" w:rsidTr="004D0886">
        <w:trPr>
          <w:trHeight w:val="233"/>
        </w:trPr>
        <w:tc>
          <w:tcPr>
            <w:tcW w:w="1705" w:type="dxa"/>
            <w:shd w:val="clear" w:color="auto" w:fill="E2EFD9" w:themeFill="accent6" w:themeFillTint="33"/>
          </w:tcPr>
          <w:p w14:paraId="68852A84" w14:textId="42A4A415"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does not reference the value of </w:t>
            </w:r>
            <w:r w:rsidRPr="004B7799">
              <w:rPr>
                <w:rFonts w:ascii="Times New Roman" w:hAnsi="Times New Roman" w:cs="Times New Roman"/>
                <w:sz w:val="20"/>
                <w:szCs w:val="20"/>
              </w:rPr>
              <w:lastRenderedPageBreak/>
              <w:t xml:space="preserve">developmentally appropriate expectations. </w:t>
            </w:r>
          </w:p>
        </w:tc>
        <w:tc>
          <w:tcPr>
            <w:tcW w:w="2130" w:type="dxa"/>
            <w:shd w:val="clear" w:color="auto" w:fill="E2EFD9" w:themeFill="accent6" w:themeFillTint="33"/>
          </w:tcPr>
          <w:p w14:paraId="57BCF1CD" w14:textId="0CF30AD4"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 xml:space="preserve">The teacher apprentice understands the value of developmentally </w:t>
            </w:r>
            <w:r w:rsidRPr="004B7799">
              <w:rPr>
                <w:rFonts w:ascii="Times New Roman" w:hAnsi="Times New Roman" w:cs="Times New Roman"/>
                <w:sz w:val="20"/>
                <w:szCs w:val="20"/>
              </w:rPr>
              <w:lastRenderedPageBreak/>
              <w:t xml:space="preserve">appropriate expectations. </w:t>
            </w:r>
          </w:p>
        </w:tc>
        <w:tc>
          <w:tcPr>
            <w:tcW w:w="2130" w:type="dxa"/>
            <w:shd w:val="clear" w:color="auto" w:fill="E2EFD9" w:themeFill="accent6" w:themeFillTint="33"/>
          </w:tcPr>
          <w:p w14:paraId="06953C3D" w14:textId="2423BBBF"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 xml:space="preserve">The teacher apprentice understands how to set developmentally </w:t>
            </w:r>
            <w:r w:rsidRPr="004B7799">
              <w:rPr>
                <w:rFonts w:ascii="Times New Roman" w:hAnsi="Times New Roman" w:cs="Times New Roman"/>
                <w:sz w:val="20"/>
                <w:szCs w:val="20"/>
              </w:rPr>
              <w:lastRenderedPageBreak/>
              <w:t xml:space="preserve">appropriate expectations. </w:t>
            </w:r>
          </w:p>
        </w:tc>
        <w:tc>
          <w:tcPr>
            <w:tcW w:w="2130" w:type="dxa"/>
            <w:shd w:val="clear" w:color="auto" w:fill="E2EFD9" w:themeFill="accent6" w:themeFillTint="33"/>
          </w:tcPr>
          <w:p w14:paraId="26349FD1" w14:textId="66D4AF44"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 xml:space="preserve">The teacher apprentice sets developmentally appropriate </w:t>
            </w:r>
            <w:r w:rsidRPr="004B7799">
              <w:rPr>
                <w:rFonts w:ascii="Times New Roman" w:hAnsi="Times New Roman" w:cs="Times New Roman"/>
                <w:sz w:val="20"/>
                <w:szCs w:val="20"/>
              </w:rPr>
              <w:lastRenderedPageBreak/>
              <w:t>expectations for the learning environment.</w:t>
            </w:r>
          </w:p>
        </w:tc>
        <w:tc>
          <w:tcPr>
            <w:tcW w:w="3903" w:type="dxa"/>
            <w:shd w:val="clear" w:color="auto" w:fill="D9E2F3" w:themeFill="accent1" w:themeFillTint="33"/>
          </w:tcPr>
          <w:p w14:paraId="4BE3DC7B" w14:textId="35799DA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lastRenderedPageBreak/>
              <w:t xml:space="preserve">The teacher apprentice works with others to create environments that support individual and collaborative learning, and that </w:t>
            </w:r>
            <w:r w:rsidRPr="004B7799">
              <w:rPr>
                <w:rFonts w:ascii="Times New Roman" w:hAnsi="Times New Roman" w:cs="Times New Roman"/>
                <w:color w:val="2F3138"/>
                <w:sz w:val="20"/>
                <w:szCs w:val="20"/>
              </w:rPr>
              <w:lastRenderedPageBreak/>
              <w:t>encourage positive social interaction, active engagement in learning, and self‐motivation.</w:t>
            </w:r>
          </w:p>
        </w:tc>
        <w:tc>
          <w:tcPr>
            <w:tcW w:w="2397" w:type="dxa"/>
            <w:shd w:val="clear" w:color="auto" w:fill="E2EFD9" w:themeFill="accent6" w:themeFillTint="33"/>
          </w:tcPr>
          <w:p w14:paraId="7F8E466D" w14:textId="67A5E4F9"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lastRenderedPageBreak/>
              <w:t xml:space="preserve">The teacher apprentice actively involves learners in managing the learning environment to maximize </w:t>
            </w:r>
            <w:r w:rsidRPr="004B7799">
              <w:rPr>
                <w:rFonts w:ascii="Times New Roman" w:hAnsi="Times New Roman" w:cs="Times New Roman"/>
                <w:color w:val="2F3138"/>
                <w:sz w:val="20"/>
                <w:szCs w:val="20"/>
              </w:rPr>
              <w:lastRenderedPageBreak/>
              <w:t xml:space="preserve">use of instructional time, employs strategies to build learner self-direction and ownership of learning. </w:t>
            </w:r>
          </w:p>
        </w:tc>
      </w:tr>
    </w:tbl>
    <w:p w14:paraId="7663A152" w14:textId="3499859F" w:rsidR="002B603D" w:rsidRDefault="002B603D" w:rsidP="46EA87B4">
      <w:pPr>
        <w:rPr>
          <w:rFonts w:ascii="Times New Roman" w:hAnsi="Times New Roman" w:cs="Times New Roman"/>
          <w:b/>
          <w:bCs/>
          <w:sz w:val="20"/>
          <w:szCs w:val="20"/>
        </w:rPr>
      </w:pPr>
    </w:p>
    <w:p w14:paraId="52665171"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116630F2" w14:textId="77777777" w:rsidTr="004D0886">
        <w:trPr>
          <w:trHeight w:val="233"/>
        </w:trPr>
        <w:tc>
          <w:tcPr>
            <w:tcW w:w="14395" w:type="dxa"/>
            <w:gridSpan w:val="6"/>
            <w:shd w:val="clear" w:color="auto" w:fill="A8D08D" w:themeFill="accent6" w:themeFillTint="99"/>
          </w:tcPr>
          <w:p w14:paraId="1BBF3523" w14:textId="4CA549EF"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4: Content Knowledge</w:t>
            </w:r>
          </w:p>
        </w:tc>
      </w:tr>
      <w:tr w:rsidR="002B603D" w:rsidRPr="004B7799" w14:paraId="46E37E2D" w14:textId="77777777" w:rsidTr="004D0886">
        <w:trPr>
          <w:trHeight w:val="233"/>
        </w:trPr>
        <w:tc>
          <w:tcPr>
            <w:tcW w:w="1705" w:type="dxa"/>
            <w:shd w:val="clear" w:color="auto" w:fill="C5E0B3" w:themeFill="accent6" w:themeFillTint="66"/>
          </w:tcPr>
          <w:p w14:paraId="1870745B"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2D2C82A1"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1F9C1D7A"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432393A2"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47C5DEC9" w14:textId="77777777" w:rsidTr="004D0886">
        <w:trPr>
          <w:trHeight w:val="233"/>
        </w:trPr>
        <w:tc>
          <w:tcPr>
            <w:tcW w:w="1705" w:type="dxa"/>
            <w:shd w:val="clear" w:color="auto" w:fill="C5E0B3" w:themeFill="accent6" w:themeFillTint="66"/>
          </w:tcPr>
          <w:p w14:paraId="206C5366"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76C83BBB"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7AA8604D"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2883756A"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563C3EB2"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603E0EAD"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0A02416F" w14:textId="77777777" w:rsidTr="004D0886">
        <w:trPr>
          <w:trHeight w:val="233"/>
        </w:trPr>
        <w:tc>
          <w:tcPr>
            <w:tcW w:w="1705" w:type="dxa"/>
            <w:shd w:val="clear" w:color="auto" w:fill="E2EFD9" w:themeFill="accent6" w:themeFillTint="33"/>
          </w:tcPr>
          <w:p w14:paraId="0D0099FE" w14:textId="5D64321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unfamiliar with important concepts in the discipline(s). </w:t>
            </w:r>
          </w:p>
        </w:tc>
        <w:tc>
          <w:tcPr>
            <w:tcW w:w="2130" w:type="dxa"/>
            <w:shd w:val="clear" w:color="auto" w:fill="E2EFD9" w:themeFill="accent6" w:themeFillTint="33"/>
          </w:tcPr>
          <w:p w14:paraId="6B2057FF" w14:textId="6208D239"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familiar with important concepts in the discipline(s). </w:t>
            </w:r>
          </w:p>
        </w:tc>
        <w:tc>
          <w:tcPr>
            <w:tcW w:w="2130" w:type="dxa"/>
            <w:shd w:val="clear" w:color="auto" w:fill="E2EFD9" w:themeFill="accent6" w:themeFillTint="33"/>
          </w:tcPr>
          <w:p w14:paraId="52DCD0B7" w14:textId="4CB5547E"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familiar with important concepts in the discipline(s), including some prerequisite relationships.  </w:t>
            </w:r>
          </w:p>
        </w:tc>
        <w:tc>
          <w:tcPr>
            <w:tcW w:w="2130" w:type="dxa"/>
            <w:shd w:val="clear" w:color="auto" w:fill="E2EFD9" w:themeFill="accent6" w:themeFillTint="33"/>
          </w:tcPr>
          <w:p w14:paraId="7C3FD8B7" w14:textId="6F5A8C84"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accurately and effectively communicates concepts, processes, and knowledge in the discipline(s) using multiple representations. </w:t>
            </w:r>
          </w:p>
        </w:tc>
        <w:tc>
          <w:tcPr>
            <w:tcW w:w="3903" w:type="dxa"/>
            <w:shd w:val="clear" w:color="auto" w:fill="D9E2F3" w:themeFill="accent1" w:themeFillTint="33"/>
          </w:tcPr>
          <w:p w14:paraId="3869D553" w14:textId="0EDA676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The teacher apprentice understands the central concepts, tools of inquiry, and structures of the discipline(s) taught and creates learning experiences that make the discipline accessible and meaningful for learners to assure mastery of the content.</w:t>
            </w:r>
          </w:p>
        </w:tc>
        <w:tc>
          <w:tcPr>
            <w:tcW w:w="2397" w:type="dxa"/>
            <w:shd w:val="clear" w:color="auto" w:fill="E2EFD9" w:themeFill="accent6" w:themeFillTint="33"/>
          </w:tcPr>
          <w:p w14:paraId="4F2999E8" w14:textId="498A754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seeks out ways to expand or deepen content knowledge and ways of representing it for learners, presenting diverse perspectives to engage learners in understanding, questioning, and analyzing ideas. </w:t>
            </w:r>
          </w:p>
        </w:tc>
      </w:tr>
    </w:tbl>
    <w:p w14:paraId="1D7DED7D" w14:textId="77777777" w:rsidR="002B603D" w:rsidRDefault="002B603D">
      <w:pPr>
        <w:rPr>
          <w:rFonts w:ascii="Times New Roman" w:hAnsi="Times New Roman" w:cs="Times New Roman"/>
          <w:b/>
          <w:bCs/>
          <w:sz w:val="20"/>
          <w:szCs w:val="20"/>
        </w:rPr>
      </w:pPr>
    </w:p>
    <w:p w14:paraId="0D46E38E" w14:textId="77777777" w:rsidR="000768CA" w:rsidRDefault="000768CA">
      <w:pPr>
        <w:rPr>
          <w:rFonts w:ascii="Times New Roman" w:hAnsi="Times New Roman" w:cs="Times New Roman"/>
          <w:b/>
          <w:bCs/>
          <w:sz w:val="20"/>
          <w:szCs w:val="20"/>
        </w:rPr>
      </w:pPr>
    </w:p>
    <w:p w14:paraId="2ED6EF99"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473E2C98" w14:textId="77777777" w:rsidTr="004D0886">
        <w:trPr>
          <w:trHeight w:val="233"/>
        </w:trPr>
        <w:tc>
          <w:tcPr>
            <w:tcW w:w="14395" w:type="dxa"/>
            <w:gridSpan w:val="6"/>
            <w:shd w:val="clear" w:color="auto" w:fill="A8D08D" w:themeFill="accent6" w:themeFillTint="99"/>
          </w:tcPr>
          <w:p w14:paraId="36ADDE84" w14:textId="17E7E464"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5: Application of Content</w:t>
            </w:r>
          </w:p>
        </w:tc>
      </w:tr>
      <w:tr w:rsidR="002B603D" w:rsidRPr="004B7799" w14:paraId="3CB6A0E7" w14:textId="77777777" w:rsidTr="004D0886">
        <w:trPr>
          <w:trHeight w:val="233"/>
        </w:trPr>
        <w:tc>
          <w:tcPr>
            <w:tcW w:w="1705" w:type="dxa"/>
            <w:shd w:val="clear" w:color="auto" w:fill="C5E0B3" w:themeFill="accent6" w:themeFillTint="66"/>
          </w:tcPr>
          <w:p w14:paraId="3741975D"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6A58A3F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659680F5"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59DE357B"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5D748F68" w14:textId="77777777" w:rsidTr="004D0886">
        <w:trPr>
          <w:trHeight w:val="233"/>
        </w:trPr>
        <w:tc>
          <w:tcPr>
            <w:tcW w:w="1705" w:type="dxa"/>
            <w:shd w:val="clear" w:color="auto" w:fill="C5E0B3" w:themeFill="accent6" w:themeFillTint="66"/>
          </w:tcPr>
          <w:p w14:paraId="45478300"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637982F8"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47A25A7B"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3A75FA39"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5B0D38DE"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254B8686"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4096D9C6" w14:textId="77777777" w:rsidTr="004D0886">
        <w:trPr>
          <w:trHeight w:val="233"/>
        </w:trPr>
        <w:tc>
          <w:tcPr>
            <w:tcW w:w="1705" w:type="dxa"/>
            <w:shd w:val="clear" w:color="auto" w:fill="E2EFD9" w:themeFill="accent6" w:themeFillTint="33"/>
          </w:tcPr>
          <w:p w14:paraId="5BAE629E" w14:textId="376BE89B"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does not understand the value of </w:t>
            </w:r>
            <w:r w:rsidRPr="004B7799">
              <w:rPr>
                <w:rFonts w:ascii="Times New Roman" w:hAnsi="Times New Roman" w:cs="Times New Roman"/>
                <w:sz w:val="20"/>
                <w:szCs w:val="20"/>
              </w:rPr>
              <w:lastRenderedPageBreak/>
              <w:t>connecting concepts and using differing perspectives to engage learners.</w:t>
            </w:r>
          </w:p>
        </w:tc>
        <w:tc>
          <w:tcPr>
            <w:tcW w:w="2130" w:type="dxa"/>
            <w:shd w:val="clear" w:color="auto" w:fill="E2EFD9" w:themeFill="accent6" w:themeFillTint="33"/>
          </w:tcPr>
          <w:p w14:paraId="4C0A3F6F" w14:textId="1658244D"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 xml:space="preserve">The teacher apprentice understands the value of connecting concepts and using differing </w:t>
            </w:r>
            <w:r w:rsidRPr="004B7799">
              <w:rPr>
                <w:rFonts w:ascii="Times New Roman" w:hAnsi="Times New Roman" w:cs="Times New Roman"/>
                <w:sz w:val="20"/>
                <w:szCs w:val="20"/>
              </w:rPr>
              <w:lastRenderedPageBreak/>
              <w:t xml:space="preserve">perspectives to engage learners. </w:t>
            </w:r>
          </w:p>
        </w:tc>
        <w:tc>
          <w:tcPr>
            <w:tcW w:w="2130" w:type="dxa"/>
            <w:shd w:val="clear" w:color="auto" w:fill="E2EFD9" w:themeFill="accent6" w:themeFillTint="33"/>
          </w:tcPr>
          <w:p w14:paraId="40305EB7" w14:textId="076347B3"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 xml:space="preserve">The teacher apprentice develops lessons with a recognizable structure. </w:t>
            </w:r>
          </w:p>
        </w:tc>
        <w:tc>
          <w:tcPr>
            <w:tcW w:w="2130" w:type="dxa"/>
            <w:shd w:val="clear" w:color="auto" w:fill="E2EFD9" w:themeFill="accent6" w:themeFillTint="33"/>
          </w:tcPr>
          <w:p w14:paraId="1AAE60B5" w14:textId="6A1C183F"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develops plans likely to engage learners in applying content </w:t>
            </w:r>
            <w:r w:rsidRPr="004B7799">
              <w:rPr>
                <w:rFonts w:ascii="Times New Roman" w:hAnsi="Times New Roman" w:cs="Times New Roman"/>
                <w:sz w:val="20"/>
                <w:szCs w:val="20"/>
              </w:rPr>
              <w:lastRenderedPageBreak/>
              <w:t xml:space="preserve">knowledge and skills in authentic contexts. </w:t>
            </w:r>
          </w:p>
        </w:tc>
        <w:tc>
          <w:tcPr>
            <w:tcW w:w="3903" w:type="dxa"/>
            <w:shd w:val="clear" w:color="auto" w:fill="D9E2F3" w:themeFill="accent1" w:themeFillTint="33"/>
          </w:tcPr>
          <w:p w14:paraId="2EC0CB82" w14:textId="38DEB5E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lastRenderedPageBreak/>
              <w:t xml:space="preserve">The teacher apprentice understands how to connect concepts and use differing perspectives to engage learners in critical thinking, creativity, and collaborative </w:t>
            </w:r>
            <w:r w:rsidRPr="004B7799">
              <w:rPr>
                <w:rFonts w:ascii="Times New Roman" w:hAnsi="Times New Roman" w:cs="Times New Roman"/>
                <w:color w:val="2F3138"/>
                <w:sz w:val="20"/>
                <w:szCs w:val="20"/>
              </w:rPr>
              <w:lastRenderedPageBreak/>
              <w:t>problem solving related to authentic local and global issues.</w:t>
            </w:r>
          </w:p>
        </w:tc>
        <w:tc>
          <w:tcPr>
            <w:tcW w:w="2397" w:type="dxa"/>
            <w:shd w:val="clear" w:color="auto" w:fill="E2EFD9" w:themeFill="accent6" w:themeFillTint="33"/>
          </w:tcPr>
          <w:p w14:paraId="354C0634" w14:textId="26134AB1"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lastRenderedPageBreak/>
              <w:t xml:space="preserve">The teacher apprentice collaborates with colleagues in other discipline(s) to create </w:t>
            </w:r>
            <w:r w:rsidRPr="004B7799">
              <w:rPr>
                <w:rFonts w:ascii="Times New Roman" w:hAnsi="Times New Roman" w:cs="Times New Roman"/>
                <w:color w:val="2F3138"/>
                <w:sz w:val="20"/>
                <w:szCs w:val="20"/>
              </w:rPr>
              <w:lastRenderedPageBreak/>
              <w:t xml:space="preserve">interdisciplinary learning experiences. </w:t>
            </w:r>
          </w:p>
        </w:tc>
      </w:tr>
    </w:tbl>
    <w:p w14:paraId="1A7FCF08" w14:textId="77777777" w:rsidR="002B603D" w:rsidRDefault="002B603D">
      <w:pPr>
        <w:rPr>
          <w:rFonts w:ascii="Times New Roman" w:hAnsi="Times New Roman" w:cs="Times New Roman"/>
          <w:b/>
          <w:bCs/>
          <w:sz w:val="20"/>
          <w:szCs w:val="20"/>
        </w:rPr>
      </w:pPr>
    </w:p>
    <w:p w14:paraId="267332C4" w14:textId="77777777" w:rsidR="002B603D" w:rsidRDefault="002B603D">
      <w:pPr>
        <w:rPr>
          <w:rFonts w:ascii="Times New Roman" w:hAnsi="Times New Roman" w:cs="Times New Roman"/>
          <w:b/>
          <w:bCs/>
          <w:sz w:val="20"/>
          <w:szCs w:val="20"/>
        </w:rPr>
      </w:pPr>
    </w:p>
    <w:p w14:paraId="43D940FA" w14:textId="77777777" w:rsidR="002B603D" w:rsidRDefault="002B603D">
      <w:pPr>
        <w:rPr>
          <w:rFonts w:ascii="Times New Roman" w:hAnsi="Times New Roman" w:cs="Times New Roman"/>
          <w:b/>
          <w:bCs/>
          <w:sz w:val="20"/>
          <w:szCs w:val="20"/>
        </w:rPr>
      </w:pPr>
    </w:p>
    <w:p w14:paraId="5CD5E3F0" w14:textId="77777777" w:rsidR="002B603D" w:rsidRDefault="002B603D">
      <w:pPr>
        <w:rPr>
          <w:rFonts w:ascii="Times New Roman" w:hAnsi="Times New Roman" w:cs="Times New Roman"/>
          <w:b/>
          <w:bCs/>
          <w:sz w:val="20"/>
          <w:szCs w:val="20"/>
        </w:rPr>
      </w:pPr>
    </w:p>
    <w:p w14:paraId="4A7849AC" w14:textId="2D1B7A92" w:rsidR="46EA87B4" w:rsidRDefault="46EA87B4" w:rsidP="46EA87B4">
      <w:pPr>
        <w:rPr>
          <w:rFonts w:ascii="Times New Roman" w:hAnsi="Times New Roman" w:cs="Times New Roman"/>
          <w:b/>
          <w:bCs/>
          <w:sz w:val="20"/>
          <w:szCs w:val="20"/>
        </w:rPr>
      </w:pPr>
    </w:p>
    <w:p w14:paraId="5F284591" w14:textId="228DBDF4" w:rsidR="46EA87B4" w:rsidRDefault="46EA87B4" w:rsidP="46EA87B4">
      <w:pPr>
        <w:rPr>
          <w:rFonts w:ascii="Times New Roman" w:hAnsi="Times New Roman" w:cs="Times New Roman"/>
          <w:b/>
          <w:bCs/>
          <w:sz w:val="20"/>
          <w:szCs w:val="20"/>
        </w:rPr>
      </w:pPr>
    </w:p>
    <w:p w14:paraId="2CCC8BC2" w14:textId="7A497241" w:rsidR="46EA87B4" w:rsidRDefault="46EA87B4" w:rsidP="46EA87B4">
      <w:pPr>
        <w:rPr>
          <w:rFonts w:ascii="Times New Roman" w:hAnsi="Times New Roman" w:cs="Times New Roman"/>
          <w:b/>
          <w:bCs/>
          <w:sz w:val="20"/>
          <w:szCs w:val="20"/>
        </w:rPr>
      </w:pPr>
    </w:p>
    <w:p w14:paraId="3D030BF6" w14:textId="75999074" w:rsidR="46EA87B4" w:rsidRDefault="46EA87B4" w:rsidP="46EA87B4">
      <w:pPr>
        <w:rPr>
          <w:rFonts w:ascii="Times New Roman" w:hAnsi="Times New Roman" w:cs="Times New Roman"/>
          <w:b/>
          <w:bCs/>
          <w:sz w:val="20"/>
          <w:szCs w:val="20"/>
        </w:rPr>
      </w:pPr>
    </w:p>
    <w:p w14:paraId="664D1B0B" w14:textId="77777777" w:rsidR="002B603D" w:rsidRDefault="002B603D">
      <w:pPr>
        <w:rPr>
          <w:rFonts w:ascii="Times New Roman" w:hAnsi="Times New Roman" w:cs="Times New Roman"/>
          <w:b/>
          <w:bCs/>
          <w:sz w:val="20"/>
          <w:szCs w:val="20"/>
        </w:rPr>
      </w:pPr>
    </w:p>
    <w:p w14:paraId="0067387F"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0543219E" w14:textId="77777777" w:rsidTr="004D0886">
        <w:trPr>
          <w:trHeight w:val="233"/>
        </w:trPr>
        <w:tc>
          <w:tcPr>
            <w:tcW w:w="14395" w:type="dxa"/>
            <w:gridSpan w:val="6"/>
            <w:shd w:val="clear" w:color="auto" w:fill="A8D08D" w:themeFill="accent6" w:themeFillTint="99"/>
          </w:tcPr>
          <w:p w14:paraId="2CBA61B5" w14:textId="7CB62EEF"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6: Assessment</w:t>
            </w:r>
          </w:p>
        </w:tc>
      </w:tr>
      <w:tr w:rsidR="002B603D" w:rsidRPr="004B7799" w14:paraId="0A6A5BD0" w14:textId="77777777" w:rsidTr="004D0886">
        <w:trPr>
          <w:trHeight w:val="233"/>
        </w:trPr>
        <w:tc>
          <w:tcPr>
            <w:tcW w:w="1705" w:type="dxa"/>
            <w:shd w:val="clear" w:color="auto" w:fill="C5E0B3" w:themeFill="accent6" w:themeFillTint="66"/>
          </w:tcPr>
          <w:p w14:paraId="7B6D5B19"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2D4CD0D5"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76F453DE"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16425959"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4A3F3A5A" w14:textId="77777777" w:rsidTr="004D0886">
        <w:trPr>
          <w:trHeight w:val="233"/>
        </w:trPr>
        <w:tc>
          <w:tcPr>
            <w:tcW w:w="1705" w:type="dxa"/>
            <w:shd w:val="clear" w:color="auto" w:fill="C5E0B3" w:themeFill="accent6" w:themeFillTint="66"/>
          </w:tcPr>
          <w:p w14:paraId="2D51020C"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17C844C7"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79034587"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0D8F57F0"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4F2D4A75"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178E5428"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4DF83E7A" w14:textId="77777777" w:rsidTr="004D0886">
        <w:trPr>
          <w:trHeight w:val="233"/>
        </w:trPr>
        <w:tc>
          <w:tcPr>
            <w:tcW w:w="1705" w:type="dxa"/>
            <w:shd w:val="clear" w:color="auto" w:fill="E2EFD9" w:themeFill="accent6" w:themeFillTint="33"/>
          </w:tcPr>
          <w:p w14:paraId="76AE74E5" w14:textId="2B17B501"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does not understand the value of formative and summative assessment.</w:t>
            </w:r>
          </w:p>
        </w:tc>
        <w:tc>
          <w:tcPr>
            <w:tcW w:w="2130" w:type="dxa"/>
            <w:shd w:val="clear" w:color="auto" w:fill="E2EFD9" w:themeFill="accent6" w:themeFillTint="33"/>
          </w:tcPr>
          <w:p w14:paraId="1DC76C1B" w14:textId="3AC17F75"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understands the value of formative and summative assessment. </w:t>
            </w:r>
          </w:p>
        </w:tc>
        <w:tc>
          <w:tcPr>
            <w:tcW w:w="2130" w:type="dxa"/>
            <w:shd w:val="clear" w:color="auto" w:fill="E2EFD9" w:themeFill="accent6" w:themeFillTint="33"/>
          </w:tcPr>
          <w:p w14:paraId="068B057A" w14:textId="3248D635"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recognizes effective assessment strategies. </w:t>
            </w:r>
          </w:p>
        </w:tc>
        <w:tc>
          <w:tcPr>
            <w:tcW w:w="2130" w:type="dxa"/>
            <w:shd w:val="clear" w:color="auto" w:fill="E2EFD9" w:themeFill="accent6" w:themeFillTint="33"/>
          </w:tcPr>
          <w:p w14:paraId="1E5DDF9B" w14:textId="70396E8E"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uses assessment to monitor learner progress and guide decision making. </w:t>
            </w:r>
          </w:p>
        </w:tc>
        <w:tc>
          <w:tcPr>
            <w:tcW w:w="3903" w:type="dxa"/>
            <w:shd w:val="clear" w:color="auto" w:fill="D9E2F3" w:themeFill="accent1" w:themeFillTint="33"/>
          </w:tcPr>
          <w:p w14:paraId="1257FF53" w14:textId="21C12834"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The teacher apprentice understands and uses multiple methods of assessment to monitor learner progress, and to guide the teacher apprentice’s and learner’s decision making.</w:t>
            </w:r>
          </w:p>
        </w:tc>
        <w:tc>
          <w:tcPr>
            <w:tcW w:w="2397" w:type="dxa"/>
            <w:shd w:val="clear" w:color="auto" w:fill="E2EFD9" w:themeFill="accent6" w:themeFillTint="33"/>
          </w:tcPr>
          <w:p w14:paraId="54EAC79A" w14:textId="73C983C5"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engages learners in monitoring their own growth and uses that information to make instructional decisions. </w:t>
            </w:r>
          </w:p>
        </w:tc>
      </w:tr>
    </w:tbl>
    <w:p w14:paraId="34FA06D2" w14:textId="1611EA78" w:rsidR="002B603D" w:rsidRDefault="002B603D" w:rsidP="46EA87B4">
      <w:pPr>
        <w:rPr>
          <w:rFonts w:ascii="Times New Roman" w:hAnsi="Times New Roman" w:cs="Times New Roman"/>
          <w:b/>
          <w:bCs/>
          <w:sz w:val="20"/>
          <w:szCs w:val="20"/>
        </w:rPr>
      </w:pPr>
    </w:p>
    <w:p w14:paraId="378A1E5C"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7F2AB58A" w14:textId="77777777" w:rsidTr="004D0886">
        <w:trPr>
          <w:trHeight w:val="233"/>
        </w:trPr>
        <w:tc>
          <w:tcPr>
            <w:tcW w:w="14395" w:type="dxa"/>
            <w:gridSpan w:val="6"/>
            <w:shd w:val="clear" w:color="auto" w:fill="A8D08D" w:themeFill="accent6" w:themeFillTint="99"/>
          </w:tcPr>
          <w:p w14:paraId="5CB74DA6" w14:textId="1B61E947" w:rsidR="002B603D" w:rsidRPr="004B7799" w:rsidRDefault="002B603D" w:rsidP="002B603D">
            <w:pPr>
              <w:rPr>
                <w:rFonts w:ascii="Times New Roman" w:hAnsi="Times New Roman" w:cs="Times New Roman"/>
                <w:b/>
                <w:bCs/>
                <w:sz w:val="20"/>
                <w:szCs w:val="20"/>
              </w:rPr>
            </w:pPr>
            <w:r w:rsidRPr="00C177D8">
              <w:rPr>
                <w:rFonts w:ascii="Times New Roman" w:hAnsi="Times New Roman" w:cs="Times New Roman"/>
                <w:b/>
                <w:bCs/>
              </w:rPr>
              <w:t>Standard 7: Planning for Instruction</w:t>
            </w:r>
          </w:p>
        </w:tc>
      </w:tr>
      <w:tr w:rsidR="002B603D" w:rsidRPr="004B7799" w14:paraId="2EF9F7BF" w14:textId="77777777" w:rsidTr="004D0886">
        <w:trPr>
          <w:trHeight w:val="233"/>
        </w:trPr>
        <w:tc>
          <w:tcPr>
            <w:tcW w:w="1705" w:type="dxa"/>
            <w:shd w:val="clear" w:color="auto" w:fill="C5E0B3" w:themeFill="accent6" w:themeFillTint="66"/>
          </w:tcPr>
          <w:p w14:paraId="24835FFA" w14:textId="7777777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5F05C293" w14:textId="7777777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7B06698D" w14:textId="7777777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400C327F" w14:textId="7777777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3A9CEDAD" w14:textId="77777777" w:rsidTr="004D0886">
        <w:trPr>
          <w:trHeight w:val="233"/>
        </w:trPr>
        <w:tc>
          <w:tcPr>
            <w:tcW w:w="1705" w:type="dxa"/>
            <w:shd w:val="clear" w:color="auto" w:fill="C5E0B3" w:themeFill="accent6" w:themeFillTint="66"/>
          </w:tcPr>
          <w:p w14:paraId="46A22A69"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5641D7AF"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36FC30BD"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03E6862D"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3DB612B6"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0CF8A9F6" w14:textId="77777777" w:rsidR="002B603D" w:rsidRPr="00C177D8" w:rsidRDefault="002B603D" w:rsidP="002B603D">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1894199B" w14:textId="77777777" w:rsidTr="004D0886">
        <w:trPr>
          <w:trHeight w:val="233"/>
        </w:trPr>
        <w:tc>
          <w:tcPr>
            <w:tcW w:w="1705" w:type="dxa"/>
            <w:shd w:val="clear" w:color="auto" w:fill="E2EFD9" w:themeFill="accent6" w:themeFillTint="33"/>
          </w:tcPr>
          <w:p w14:paraId="3156DF3D" w14:textId="7B63893F"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The teacher apprentice does not understand the value of and can recognize concepts of flexible and accommodating learning environments.</w:t>
            </w:r>
          </w:p>
        </w:tc>
        <w:tc>
          <w:tcPr>
            <w:tcW w:w="2130" w:type="dxa"/>
            <w:shd w:val="clear" w:color="auto" w:fill="E2EFD9" w:themeFill="accent6" w:themeFillTint="33"/>
          </w:tcPr>
          <w:p w14:paraId="6CBEF562" w14:textId="5C965319"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understands the value of and can recognize concepts of flexible and accommodating learning environments. </w:t>
            </w:r>
          </w:p>
        </w:tc>
        <w:tc>
          <w:tcPr>
            <w:tcW w:w="2130" w:type="dxa"/>
            <w:shd w:val="clear" w:color="auto" w:fill="E2EFD9" w:themeFill="accent6" w:themeFillTint="33"/>
          </w:tcPr>
          <w:p w14:paraId="74D8A2B7" w14:textId="0529037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can use concepts of flexible and accommodating learning environments in the development of lessons. </w:t>
            </w:r>
          </w:p>
        </w:tc>
        <w:tc>
          <w:tcPr>
            <w:tcW w:w="2130" w:type="dxa"/>
            <w:shd w:val="clear" w:color="auto" w:fill="E2EFD9" w:themeFill="accent6" w:themeFillTint="33"/>
          </w:tcPr>
          <w:p w14:paraId="35E738E6" w14:textId="0ED114D1"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plans relevant learning experiences for all learners linked to the appropriate learning objectives. </w:t>
            </w:r>
          </w:p>
        </w:tc>
        <w:tc>
          <w:tcPr>
            <w:tcW w:w="3903" w:type="dxa"/>
            <w:shd w:val="clear" w:color="auto" w:fill="D9E2F3" w:themeFill="accent1" w:themeFillTint="33"/>
          </w:tcPr>
          <w:p w14:paraId="027E911F" w14:textId="6E8DD18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The teacher apprentice plans instruction that supports every student in meeting rigorous learning goals by drawing upon knowledge of content areas, curriculum, cross‐ disciplinary skills, and pedagogy, as well as knowledge of learners and the community context.</w:t>
            </w:r>
          </w:p>
        </w:tc>
        <w:tc>
          <w:tcPr>
            <w:tcW w:w="2397" w:type="dxa"/>
            <w:shd w:val="clear" w:color="auto" w:fill="E2EFD9" w:themeFill="accent6" w:themeFillTint="33"/>
          </w:tcPr>
          <w:p w14:paraId="4C920344" w14:textId="4E49F2DA"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works collaboratively with families to plan ways to meet the needs of learners, incorporating assets of the family and community. </w:t>
            </w:r>
          </w:p>
        </w:tc>
      </w:tr>
    </w:tbl>
    <w:p w14:paraId="54F948D5" w14:textId="660CC02B" w:rsidR="002B603D" w:rsidRDefault="002B603D" w:rsidP="46EA87B4">
      <w:pPr>
        <w:rPr>
          <w:rFonts w:ascii="Times New Roman" w:hAnsi="Times New Roman" w:cs="Times New Roman"/>
          <w:b/>
          <w:bCs/>
          <w:sz w:val="20"/>
          <w:szCs w:val="20"/>
        </w:rPr>
      </w:pPr>
    </w:p>
    <w:p w14:paraId="4273FE4A" w14:textId="77777777" w:rsidR="00C177D8" w:rsidRDefault="00C177D8">
      <w:pPr>
        <w:rPr>
          <w:rFonts w:ascii="Times New Roman" w:hAnsi="Times New Roman" w:cs="Times New Roman"/>
          <w:b/>
          <w:bCs/>
          <w:sz w:val="20"/>
          <w:szCs w:val="20"/>
        </w:rPr>
      </w:pPr>
    </w:p>
    <w:p w14:paraId="1D973F8E" w14:textId="77777777" w:rsidR="002B603D" w:rsidRDefault="002B603D">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2B603D" w:rsidRPr="004B7799" w14:paraId="441F5918" w14:textId="77777777" w:rsidTr="004D0886">
        <w:trPr>
          <w:trHeight w:val="233"/>
        </w:trPr>
        <w:tc>
          <w:tcPr>
            <w:tcW w:w="14395" w:type="dxa"/>
            <w:gridSpan w:val="6"/>
            <w:shd w:val="clear" w:color="auto" w:fill="A8D08D" w:themeFill="accent6" w:themeFillTint="99"/>
          </w:tcPr>
          <w:p w14:paraId="73C41325" w14:textId="00545823" w:rsidR="002B603D" w:rsidRPr="004B7799" w:rsidRDefault="002B603D" w:rsidP="00216389">
            <w:pPr>
              <w:rPr>
                <w:rFonts w:ascii="Times New Roman" w:hAnsi="Times New Roman" w:cs="Times New Roman"/>
                <w:b/>
                <w:bCs/>
                <w:sz w:val="20"/>
                <w:szCs w:val="20"/>
              </w:rPr>
            </w:pPr>
            <w:r w:rsidRPr="00C177D8">
              <w:rPr>
                <w:rFonts w:ascii="Times New Roman" w:hAnsi="Times New Roman" w:cs="Times New Roman"/>
                <w:b/>
                <w:bCs/>
              </w:rPr>
              <w:t>Standard 8: Instructional Strategies</w:t>
            </w:r>
          </w:p>
        </w:tc>
      </w:tr>
      <w:tr w:rsidR="002B603D" w:rsidRPr="004B7799" w14:paraId="76929FAF" w14:textId="77777777" w:rsidTr="004D0886">
        <w:trPr>
          <w:trHeight w:val="233"/>
        </w:trPr>
        <w:tc>
          <w:tcPr>
            <w:tcW w:w="1705" w:type="dxa"/>
            <w:shd w:val="clear" w:color="auto" w:fill="C5E0B3" w:themeFill="accent6" w:themeFillTint="66"/>
          </w:tcPr>
          <w:p w14:paraId="01A9C1DE"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687F147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6E405F76"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369B1573" w14:textId="77777777" w:rsidR="002B603D" w:rsidRPr="004B7799" w:rsidRDefault="002B603D"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2B603D" w:rsidRPr="004B7799" w14:paraId="453AEF24" w14:textId="77777777" w:rsidTr="004D0886">
        <w:trPr>
          <w:trHeight w:val="233"/>
        </w:trPr>
        <w:tc>
          <w:tcPr>
            <w:tcW w:w="1705" w:type="dxa"/>
            <w:shd w:val="clear" w:color="auto" w:fill="C5E0B3" w:themeFill="accent6" w:themeFillTint="66"/>
          </w:tcPr>
          <w:p w14:paraId="720504A4"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45900263"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40B85EB7"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7C1668A5"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02B97DCD"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211BDEB1" w14:textId="77777777" w:rsidR="002B603D" w:rsidRPr="00C177D8" w:rsidRDefault="002B603D" w:rsidP="00216389">
            <w:pPr>
              <w:jc w:val="center"/>
              <w:rPr>
                <w:rFonts w:ascii="Times New Roman" w:hAnsi="Times New Roman" w:cs="Times New Roman"/>
                <w:b/>
                <w:bCs/>
              </w:rPr>
            </w:pPr>
            <w:r w:rsidRPr="00C177D8">
              <w:rPr>
                <w:rFonts w:ascii="Times New Roman" w:hAnsi="Times New Roman" w:cs="Times New Roman"/>
                <w:b/>
                <w:bCs/>
              </w:rPr>
              <w:t>5</w:t>
            </w:r>
          </w:p>
        </w:tc>
      </w:tr>
      <w:tr w:rsidR="002B603D" w:rsidRPr="004B7799" w14:paraId="235EC969" w14:textId="77777777" w:rsidTr="004D0886">
        <w:trPr>
          <w:trHeight w:val="233"/>
        </w:trPr>
        <w:tc>
          <w:tcPr>
            <w:tcW w:w="1705" w:type="dxa"/>
            <w:shd w:val="clear" w:color="auto" w:fill="E2EFD9" w:themeFill="accent6" w:themeFillTint="33"/>
          </w:tcPr>
          <w:p w14:paraId="00F50376" w14:textId="12293E3D"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does not recognize the multiple strategies and tools to develop learner understanding of the content.</w:t>
            </w:r>
          </w:p>
        </w:tc>
        <w:tc>
          <w:tcPr>
            <w:tcW w:w="2130" w:type="dxa"/>
            <w:shd w:val="clear" w:color="auto" w:fill="E2EFD9" w:themeFill="accent6" w:themeFillTint="33"/>
          </w:tcPr>
          <w:p w14:paraId="52926F01" w14:textId="25FDF536"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recognizes the multiple strategies and tools to develop learner understanding of the content. </w:t>
            </w:r>
          </w:p>
        </w:tc>
        <w:tc>
          <w:tcPr>
            <w:tcW w:w="2130" w:type="dxa"/>
            <w:shd w:val="clear" w:color="auto" w:fill="E2EFD9" w:themeFill="accent6" w:themeFillTint="33"/>
          </w:tcPr>
          <w:p w14:paraId="56B9487D" w14:textId="255422E7"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knows a variety of sources and tools to access information related to the content and its delivery. </w:t>
            </w:r>
          </w:p>
        </w:tc>
        <w:tc>
          <w:tcPr>
            <w:tcW w:w="2130" w:type="dxa"/>
            <w:shd w:val="clear" w:color="auto" w:fill="E2EFD9" w:themeFill="accent6" w:themeFillTint="33"/>
          </w:tcPr>
          <w:p w14:paraId="1D1EC186" w14:textId="4BFC6D8B"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directs learning experiences through instructional strategies linked to learning objectives. </w:t>
            </w:r>
          </w:p>
        </w:tc>
        <w:tc>
          <w:tcPr>
            <w:tcW w:w="3903" w:type="dxa"/>
            <w:shd w:val="clear" w:color="auto" w:fill="D9E2F3" w:themeFill="accent1" w:themeFillTint="33"/>
          </w:tcPr>
          <w:p w14:paraId="3FF2EA8D" w14:textId="4FB795B2"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The teacher apprentice understands and uses a variety of instructional strategies to encourage learners to develop deep understanding of content areas and their connections, and to build skills to apply knowledge in meaningful ways.</w:t>
            </w:r>
          </w:p>
        </w:tc>
        <w:tc>
          <w:tcPr>
            <w:tcW w:w="2397" w:type="dxa"/>
            <w:shd w:val="clear" w:color="auto" w:fill="E2EFD9" w:themeFill="accent6" w:themeFillTint="33"/>
          </w:tcPr>
          <w:p w14:paraId="651CF7E4" w14:textId="2467904D" w:rsidR="002B603D" w:rsidRPr="004B7799" w:rsidRDefault="002B603D" w:rsidP="002B603D">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engages learners in identifying their strengths and specific needs for support and uses this information to adapt instruction. </w:t>
            </w:r>
          </w:p>
        </w:tc>
      </w:tr>
    </w:tbl>
    <w:p w14:paraId="2E30CCCD" w14:textId="3F80725B" w:rsidR="00402113" w:rsidRDefault="00402113" w:rsidP="46EA87B4">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402113" w:rsidRPr="004B7799" w14:paraId="47A16088" w14:textId="77777777" w:rsidTr="46EA87B4">
        <w:trPr>
          <w:trHeight w:val="233"/>
        </w:trPr>
        <w:tc>
          <w:tcPr>
            <w:tcW w:w="14395" w:type="dxa"/>
            <w:gridSpan w:val="6"/>
            <w:shd w:val="clear" w:color="auto" w:fill="A8D08D" w:themeFill="accent6" w:themeFillTint="99"/>
          </w:tcPr>
          <w:p w14:paraId="6FEF3A6D" w14:textId="2D228FF1" w:rsidR="00402113" w:rsidRPr="004B7799" w:rsidRDefault="00402113" w:rsidP="00216389">
            <w:pPr>
              <w:rPr>
                <w:rFonts w:ascii="Times New Roman" w:hAnsi="Times New Roman" w:cs="Times New Roman"/>
                <w:b/>
                <w:bCs/>
                <w:sz w:val="20"/>
                <w:szCs w:val="20"/>
              </w:rPr>
            </w:pPr>
            <w:r w:rsidRPr="00C177D8">
              <w:rPr>
                <w:rFonts w:ascii="Times New Roman" w:hAnsi="Times New Roman" w:cs="Times New Roman"/>
                <w:b/>
                <w:bCs/>
              </w:rPr>
              <w:t>Standard 9: Professional Learning and Ethical Practice</w:t>
            </w:r>
          </w:p>
        </w:tc>
      </w:tr>
      <w:tr w:rsidR="00402113" w:rsidRPr="004B7799" w14:paraId="6EDBEE9A" w14:textId="77777777" w:rsidTr="46EA87B4">
        <w:trPr>
          <w:trHeight w:val="233"/>
        </w:trPr>
        <w:tc>
          <w:tcPr>
            <w:tcW w:w="1705" w:type="dxa"/>
            <w:shd w:val="clear" w:color="auto" w:fill="C5E0B3" w:themeFill="accent6" w:themeFillTint="66"/>
          </w:tcPr>
          <w:p w14:paraId="150121D8"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677C062D"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1C05DAB8"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27A48DAD"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402113" w:rsidRPr="004B7799" w14:paraId="03006415" w14:textId="77777777" w:rsidTr="46EA87B4">
        <w:trPr>
          <w:trHeight w:val="233"/>
        </w:trPr>
        <w:tc>
          <w:tcPr>
            <w:tcW w:w="1705" w:type="dxa"/>
            <w:shd w:val="clear" w:color="auto" w:fill="C5E0B3" w:themeFill="accent6" w:themeFillTint="66"/>
          </w:tcPr>
          <w:p w14:paraId="065D7219"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49EEEF24"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6E590B8C"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691CE109"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13F1F4C2"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44476BD3"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5</w:t>
            </w:r>
          </w:p>
        </w:tc>
      </w:tr>
      <w:tr w:rsidR="00402113" w:rsidRPr="004B7799" w14:paraId="5622FE1B" w14:textId="77777777" w:rsidTr="46EA87B4">
        <w:trPr>
          <w:trHeight w:val="233"/>
        </w:trPr>
        <w:tc>
          <w:tcPr>
            <w:tcW w:w="1705" w:type="dxa"/>
            <w:shd w:val="clear" w:color="auto" w:fill="E2EFD9" w:themeFill="accent6" w:themeFillTint="33"/>
          </w:tcPr>
          <w:p w14:paraId="410C38B8" w14:textId="7421409A"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The teacher apprentice does not recognize the value of ongoing professional learning.</w:t>
            </w:r>
          </w:p>
        </w:tc>
        <w:tc>
          <w:tcPr>
            <w:tcW w:w="2130" w:type="dxa"/>
            <w:shd w:val="clear" w:color="auto" w:fill="E2EFD9" w:themeFill="accent6" w:themeFillTint="33"/>
          </w:tcPr>
          <w:p w14:paraId="0CE8C271" w14:textId="48C99248"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recognizes the value of ongoing professional learning. </w:t>
            </w:r>
          </w:p>
        </w:tc>
        <w:tc>
          <w:tcPr>
            <w:tcW w:w="2130" w:type="dxa"/>
            <w:shd w:val="clear" w:color="auto" w:fill="E2EFD9" w:themeFill="accent6" w:themeFillTint="33"/>
          </w:tcPr>
          <w:p w14:paraId="58781A21" w14:textId="5D2ADD3A"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knows how to access resources to perpetuate professional learning and ethical practice. </w:t>
            </w:r>
          </w:p>
        </w:tc>
        <w:tc>
          <w:tcPr>
            <w:tcW w:w="2130" w:type="dxa"/>
            <w:shd w:val="clear" w:color="auto" w:fill="E2EFD9" w:themeFill="accent6" w:themeFillTint="33"/>
          </w:tcPr>
          <w:p w14:paraId="128F3CDB" w14:textId="536C2206"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can employ a variety of data to evaluate the outcomes of teaching to adapt planning and practice. </w:t>
            </w:r>
          </w:p>
        </w:tc>
        <w:tc>
          <w:tcPr>
            <w:tcW w:w="3903" w:type="dxa"/>
            <w:shd w:val="clear" w:color="auto" w:fill="D9E2F3" w:themeFill="accent1" w:themeFillTint="33"/>
          </w:tcPr>
          <w:p w14:paraId="1C1E615F" w14:textId="2C0E892E" w:rsidR="00402113" w:rsidRPr="004B7799" w:rsidRDefault="7B13DE88" w:rsidP="46EA87B4">
            <w:pPr>
              <w:jc w:val="center"/>
              <w:rPr>
                <w:rFonts w:ascii="Times New Roman" w:hAnsi="Times New Roman" w:cs="Times New Roman"/>
                <w:b/>
                <w:bCs/>
                <w:sz w:val="18"/>
                <w:szCs w:val="18"/>
              </w:rPr>
            </w:pPr>
            <w:r w:rsidRPr="46EA87B4">
              <w:rPr>
                <w:rFonts w:ascii="Times New Roman" w:hAnsi="Times New Roman" w:cs="Times New Roman"/>
                <w:sz w:val="18"/>
                <w:szCs w:val="18"/>
              </w:rPr>
              <w:t>The teacher apprentice engages in ongoing professional learning and uses evidence to continually evaluate practice, particularly the effects of their choices and actions on others (learners, families, other professionals, and the community), and adapts practice to meet the needs of each learner.</w:t>
            </w:r>
          </w:p>
        </w:tc>
        <w:tc>
          <w:tcPr>
            <w:tcW w:w="2397" w:type="dxa"/>
            <w:shd w:val="clear" w:color="auto" w:fill="E2EFD9" w:themeFill="accent6" w:themeFillTint="33"/>
          </w:tcPr>
          <w:p w14:paraId="548A3BBF" w14:textId="67729C84" w:rsidR="00402113" w:rsidRPr="004B7799" w:rsidRDefault="7B13DE88" w:rsidP="46EA87B4">
            <w:pPr>
              <w:jc w:val="center"/>
              <w:rPr>
                <w:rFonts w:ascii="Times New Roman" w:hAnsi="Times New Roman" w:cs="Times New Roman"/>
                <w:b/>
                <w:bCs/>
                <w:sz w:val="18"/>
                <w:szCs w:val="18"/>
              </w:rPr>
            </w:pPr>
            <w:r w:rsidRPr="46EA87B4">
              <w:rPr>
                <w:rFonts w:ascii="Times New Roman" w:hAnsi="Times New Roman" w:cs="Times New Roman"/>
                <w:color w:val="2F3138"/>
                <w:sz w:val="18"/>
                <w:szCs w:val="18"/>
              </w:rPr>
              <w:t xml:space="preserve">The teacher apprentice collaborates with colleagues to collectively reflect upon, analyze, and improve individual and collective practice to address learner, school, and professional needs. </w:t>
            </w:r>
          </w:p>
        </w:tc>
      </w:tr>
    </w:tbl>
    <w:p w14:paraId="1ADFFCEA" w14:textId="5557B89D" w:rsidR="00402113" w:rsidRDefault="00402113" w:rsidP="46EA87B4">
      <w:pPr>
        <w:rPr>
          <w:rFonts w:ascii="Times New Roman" w:hAnsi="Times New Roman" w:cs="Times New Roman"/>
          <w:b/>
          <w:bCs/>
          <w:sz w:val="20"/>
          <w:szCs w:val="20"/>
        </w:rPr>
      </w:pPr>
    </w:p>
    <w:p w14:paraId="0FDBDB4E" w14:textId="77777777" w:rsidR="00402113" w:rsidRDefault="00402113">
      <w:pPr>
        <w:rPr>
          <w:rFonts w:ascii="Times New Roman" w:hAnsi="Times New Roman" w:cs="Times New Roman"/>
          <w:b/>
          <w:bCs/>
          <w:sz w:val="20"/>
          <w:szCs w:val="20"/>
        </w:rPr>
      </w:pPr>
    </w:p>
    <w:p w14:paraId="3C441902" w14:textId="77777777" w:rsidR="00402113" w:rsidRDefault="00402113">
      <w:pPr>
        <w:rPr>
          <w:rFonts w:ascii="Times New Roman" w:hAnsi="Times New Roman" w:cs="Times New Roman"/>
          <w:b/>
          <w:bCs/>
          <w:sz w:val="20"/>
          <w:szCs w:val="20"/>
        </w:rPr>
      </w:pPr>
    </w:p>
    <w:p w14:paraId="2276FB6F" w14:textId="77777777" w:rsidR="00402113" w:rsidRDefault="00402113">
      <w:pPr>
        <w:rPr>
          <w:rFonts w:ascii="Times New Roman" w:hAnsi="Times New Roman" w:cs="Times New Roman"/>
          <w:b/>
          <w:bCs/>
          <w:sz w:val="20"/>
          <w:szCs w:val="20"/>
        </w:rPr>
      </w:pPr>
    </w:p>
    <w:p w14:paraId="7D0B888B" w14:textId="77777777" w:rsidR="00402113" w:rsidRDefault="00402113">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402113" w:rsidRPr="004B7799" w14:paraId="76EE4348" w14:textId="77777777" w:rsidTr="004D0886">
        <w:trPr>
          <w:trHeight w:val="233"/>
        </w:trPr>
        <w:tc>
          <w:tcPr>
            <w:tcW w:w="14395" w:type="dxa"/>
            <w:gridSpan w:val="6"/>
            <w:shd w:val="clear" w:color="auto" w:fill="A8D08D" w:themeFill="accent6" w:themeFillTint="99"/>
          </w:tcPr>
          <w:p w14:paraId="652927F1" w14:textId="1A908EBF" w:rsidR="00402113" w:rsidRPr="004B7799" w:rsidRDefault="00402113" w:rsidP="00216389">
            <w:pPr>
              <w:rPr>
                <w:rFonts w:ascii="Times New Roman" w:hAnsi="Times New Roman" w:cs="Times New Roman"/>
                <w:b/>
                <w:bCs/>
                <w:sz w:val="20"/>
                <w:szCs w:val="20"/>
              </w:rPr>
            </w:pPr>
            <w:r w:rsidRPr="00C177D8">
              <w:rPr>
                <w:rFonts w:ascii="Times New Roman" w:hAnsi="Times New Roman" w:cs="Times New Roman"/>
                <w:b/>
                <w:bCs/>
              </w:rPr>
              <w:t>Standard 10: Leadership and Collaboration</w:t>
            </w:r>
          </w:p>
        </w:tc>
      </w:tr>
      <w:tr w:rsidR="00402113" w:rsidRPr="004B7799" w14:paraId="47B447B6" w14:textId="77777777" w:rsidTr="004D0886">
        <w:trPr>
          <w:trHeight w:val="233"/>
        </w:trPr>
        <w:tc>
          <w:tcPr>
            <w:tcW w:w="1705" w:type="dxa"/>
            <w:shd w:val="clear" w:color="auto" w:fill="C5E0B3" w:themeFill="accent6" w:themeFillTint="66"/>
          </w:tcPr>
          <w:p w14:paraId="2D980F3A"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3D8CF777"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63FE7070"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332C5B38"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402113" w:rsidRPr="004B7799" w14:paraId="73236786" w14:textId="77777777" w:rsidTr="004D0886">
        <w:trPr>
          <w:trHeight w:val="233"/>
        </w:trPr>
        <w:tc>
          <w:tcPr>
            <w:tcW w:w="1705" w:type="dxa"/>
            <w:shd w:val="clear" w:color="auto" w:fill="C5E0B3" w:themeFill="accent6" w:themeFillTint="66"/>
          </w:tcPr>
          <w:p w14:paraId="6A2FFF2F"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4E5DA7C2"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79F996B7"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7717D121"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67BED97E"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1FAAB661"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5</w:t>
            </w:r>
          </w:p>
        </w:tc>
      </w:tr>
      <w:tr w:rsidR="00402113" w:rsidRPr="004B7799" w14:paraId="4B33DC2D" w14:textId="77777777" w:rsidTr="004D0886">
        <w:trPr>
          <w:trHeight w:val="233"/>
        </w:trPr>
        <w:tc>
          <w:tcPr>
            <w:tcW w:w="1705" w:type="dxa"/>
            <w:shd w:val="clear" w:color="auto" w:fill="E2EFD9" w:themeFill="accent6" w:themeFillTint="33"/>
          </w:tcPr>
          <w:p w14:paraId="30477A0A" w14:textId="7BA819F4"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does not understand the need to use research in advancing instructional capacity.</w:t>
            </w:r>
          </w:p>
        </w:tc>
        <w:tc>
          <w:tcPr>
            <w:tcW w:w="2130" w:type="dxa"/>
            <w:shd w:val="clear" w:color="auto" w:fill="E2EFD9" w:themeFill="accent6" w:themeFillTint="33"/>
          </w:tcPr>
          <w:p w14:paraId="41219CF0" w14:textId="306F3C3F"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understands the need to use research in advancing instructional capacity. </w:t>
            </w:r>
          </w:p>
        </w:tc>
        <w:tc>
          <w:tcPr>
            <w:tcW w:w="2130" w:type="dxa"/>
            <w:shd w:val="clear" w:color="auto" w:fill="E2EFD9" w:themeFill="accent6" w:themeFillTint="33"/>
          </w:tcPr>
          <w:p w14:paraId="418E6BB8" w14:textId="2CD12461"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knows where to find meaningful research regarding content and pedagogy in the discipline(s). </w:t>
            </w:r>
          </w:p>
        </w:tc>
        <w:tc>
          <w:tcPr>
            <w:tcW w:w="2130" w:type="dxa"/>
            <w:shd w:val="clear" w:color="auto" w:fill="E2EFD9" w:themeFill="accent6" w:themeFillTint="33"/>
          </w:tcPr>
          <w:p w14:paraId="0FC74518" w14:textId="784A4E43"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uses meaningful educational research in the development of learning progressions. </w:t>
            </w:r>
          </w:p>
        </w:tc>
        <w:tc>
          <w:tcPr>
            <w:tcW w:w="3903" w:type="dxa"/>
            <w:shd w:val="clear" w:color="auto" w:fill="D9E2F3" w:themeFill="accent1" w:themeFillTint="33"/>
          </w:tcPr>
          <w:p w14:paraId="6AB255A0" w14:textId="5D768B6A"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seeks appropriate leadership roles and opportunities to take responsibility for student learning, to collaborate with learners, families, colleagues, other school professionals, and community members to ensure learner growth, and to advance the profession. </w:t>
            </w:r>
          </w:p>
        </w:tc>
        <w:tc>
          <w:tcPr>
            <w:tcW w:w="2397" w:type="dxa"/>
            <w:shd w:val="clear" w:color="auto" w:fill="E2EFD9" w:themeFill="accent6" w:themeFillTint="33"/>
          </w:tcPr>
          <w:p w14:paraId="568BC5E6" w14:textId="56D39818"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color w:val="2F3138"/>
                <w:sz w:val="20"/>
                <w:szCs w:val="20"/>
              </w:rPr>
              <w:t xml:space="preserve">The teacher apprentice works with families to develop mutual expectations for learner performance and growth and how to support it. </w:t>
            </w:r>
          </w:p>
        </w:tc>
      </w:tr>
    </w:tbl>
    <w:p w14:paraId="00ACDE97" w14:textId="77777777" w:rsidR="002B603D" w:rsidRDefault="002B603D">
      <w:pPr>
        <w:rPr>
          <w:rFonts w:ascii="Times New Roman" w:hAnsi="Times New Roman" w:cs="Times New Roman"/>
          <w:b/>
          <w:bCs/>
          <w:sz w:val="20"/>
          <w:szCs w:val="20"/>
        </w:rPr>
      </w:pPr>
    </w:p>
    <w:p w14:paraId="4BD6DC1D" w14:textId="77777777" w:rsidR="002B603D" w:rsidRDefault="002B603D">
      <w:pPr>
        <w:rPr>
          <w:rFonts w:ascii="Times New Roman" w:hAnsi="Times New Roman" w:cs="Times New Roman"/>
          <w:b/>
          <w:bCs/>
          <w:sz w:val="20"/>
          <w:szCs w:val="20"/>
        </w:rPr>
      </w:pPr>
    </w:p>
    <w:p w14:paraId="4D9758EA" w14:textId="77777777" w:rsidR="00402113" w:rsidRDefault="00402113">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402113" w:rsidRPr="004B7799" w14:paraId="23469200" w14:textId="77777777" w:rsidTr="004D0886">
        <w:trPr>
          <w:trHeight w:val="233"/>
        </w:trPr>
        <w:tc>
          <w:tcPr>
            <w:tcW w:w="14395" w:type="dxa"/>
            <w:gridSpan w:val="6"/>
            <w:shd w:val="clear" w:color="auto" w:fill="A8D08D" w:themeFill="accent6" w:themeFillTint="99"/>
          </w:tcPr>
          <w:p w14:paraId="38E77A2B" w14:textId="7FD6D99F" w:rsidR="00402113" w:rsidRPr="004B7799" w:rsidRDefault="00402113" w:rsidP="00216389">
            <w:pPr>
              <w:rPr>
                <w:rFonts w:ascii="Times New Roman" w:hAnsi="Times New Roman" w:cs="Times New Roman"/>
                <w:b/>
                <w:bCs/>
                <w:sz w:val="20"/>
                <w:szCs w:val="20"/>
              </w:rPr>
            </w:pPr>
            <w:r w:rsidRPr="00C177D8">
              <w:rPr>
                <w:rFonts w:ascii="Times New Roman" w:hAnsi="Times New Roman" w:cs="Times New Roman"/>
                <w:b/>
                <w:bCs/>
              </w:rPr>
              <w:t>Standard 11: American Indian Tribes in Idaho</w:t>
            </w:r>
          </w:p>
        </w:tc>
      </w:tr>
      <w:tr w:rsidR="00402113" w:rsidRPr="004B7799" w14:paraId="18746690" w14:textId="77777777" w:rsidTr="004D0886">
        <w:trPr>
          <w:trHeight w:val="233"/>
        </w:trPr>
        <w:tc>
          <w:tcPr>
            <w:tcW w:w="1705" w:type="dxa"/>
            <w:shd w:val="clear" w:color="auto" w:fill="C5E0B3" w:themeFill="accent6" w:themeFillTint="66"/>
          </w:tcPr>
          <w:p w14:paraId="655BBD53"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0B7B0341"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09388FE3"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59F49E93"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402113" w:rsidRPr="004B7799" w14:paraId="5A0E8159" w14:textId="77777777" w:rsidTr="004D0886">
        <w:trPr>
          <w:trHeight w:val="233"/>
        </w:trPr>
        <w:tc>
          <w:tcPr>
            <w:tcW w:w="1705" w:type="dxa"/>
            <w:shd w:val="clear" w:color="auto" w:fill="C5E0B3" w:themeFill="accent6" w:themeFillTint="66"/>
          </w:tcPr>
          <w:p w14:paraId="448F7123"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4DF428DA"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2AD00492"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094C128F"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4670B04C"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6C281DDC"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5</w:t>
            </w:r>
          </w:p>
        </w:tc>
      </w:tr>
      <w:tr w:rsidR="00402113" w:rsidRPr="004B7799" w14:paraId="0A04D749" w14:textId="77777777" w:rsidTr="004D0886">
        <w:trPr>
          <w:trHeight w:val="233"/>
        </w:trPr>
        <w:tc>
          <w:tcPr>
            <w:tcW w:w="1705" w:type="dxa"/>
            <w:shd w:val="clear" w:color="auto" w:fill="E2EFD9" w:themeFill="accent6" w:themeFillTint="33"/>
          </w:tcPr>
          <w:p w14:paraId="79851A0E" w14:textId="26AAF41C"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lastRenderedPageBreak/>
              <w:t>The teacher apprentice does not know about the unique status of American Indian tribes and tribal sovereignty.</w:t>
            </w:r>
          </w:p>
        </w:tc>
        <w:tc>
          <w:tcPr>
            <w:tcW w:w="2130" w:type="dxa"/>
            <w:shd w:val="clear" w:color="auto" w:fill="E2EFD9" w:themeFill="accent6" w:themeFillTint="33"/>
          </w:tcPr>
          <w:p w14:paraId="02458C6B" w14:textId="161F37DE"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knows about the unique status of American Indian tribes and tribal sovereignty. </w:t>
            </w:r>
          </w:p>
        </w:tc>
        <w:tc>
          <w:tcPr>
            <w:tcW w:w="2130" w:type="dxa"/>
            <w:shd w:val="clear" w:color="auto" w:fill="E2EFD9" w:themeFill="accent6" w:themeFillTint="33"/>
          </w:tcPr>
          <w:p w14:paraId="412885C4" w14:textId="43F37ECB"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can reference resources available in tribal communities in support of indigenous learners. </w:t>
            </w:r>
          </w:p>
        </w:tc>
        <w:tc>
          <w:tcPr>
            <w:tcW w:w="2130" w:type="dxa"/>
            <w:shd w:val="clear" w:color="auto" w:fill="E2EFD9" w:themeFill="accent6" w:themeFillTint="33"/>
          </w:tcPr>
          <w:p w14:paraId="4AA08014" w14:textId="055BD608"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incorporates knowledge of indigenous resources in planning and delivery of lessons. </w:t>
            </w:r>
          </w:p>
        </w:tc>
        <w:tc>
          <w:tcPr>
            <w:tcW w:w="3903" w:type="dxa"/>
            <w:shd w:val="clear" w:color="auto" w:fill="D9E2F3" w:themeFill="accent1" w:themeFillTint="33"/>
          </w:tcPr>
          <w:p w14:paraId="0A5E61E0" w14:textId="2B7C143E"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should be able to distinguish between each of the federally recognized tribes with respect to the retention of their ancestral lands in Idaho: Coeur d’Alene Tribe, Kootenai Tribe of Idaho, Nez Perce Tribe, </w:t>
            </w:r>
            <w:proofErr w:type="gramStart"/>
            <w:r w:rsidRPr="004B7799">
              <w:rPr>
                <w:rFonts w:ascii="Times New Roman" w:hAnsi="Times New Roman" w:cs="Times New Roman"/>
                <w:sz w:val="20"/>
                <w:szCs w:val="20"/>
              </w:rPr>
              <w:t>Shoshone-Bannock</w:t>
            </w:r>
            <w:proofErr w:type="gramEnd"/>
            <w:r w:rsidRPr="004B7799">
              <w:rPr>
                <w:rFonts w:ascii="Times New Roman" w:hAnsi="Times New Roman" w:cs="Times New Roman"/>
                <w:sz w:val="20"/>
                <w:szCs w:val="20"/>
              </w:rPr>
              <w:t xml:space="preserve"> Tribes, and the Shoshone-Paiute Tribes. Teacher apprentice build capacity in learners to utilize the assets that each learner brings to the learning community based on their backgrounds and experiences.</w:t>
            </w:r>
          </w:p>
        </w:tc>
        <w:tc>
          <w:tcPr>
            <w:tcW w:w="2397" w:type="dxa"/>
            <w:shd w:val="clear" w:color="auto" w:fill="E2EFD9" w:themeFill="accent6" w:themeFillTint="33"/>
          </w:tcPr>
          <w:p w14:paraId="61DD8359" w14:textId="61AB8322"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engages tribal communities and cultural resources of American Indian students in support of instruction. </w:t>
            </w:r>
          </w:p>
        </w:tc>
      </w:tr>
    </w:tbl>
    <w:p w14:paraId="4ED3AFD0" w14:textId="77777777" w:rsidR="002B603D" w:rsidRDefault="002B603D">
      <w:pPr>
        <w:rPr>
          <w:rFonts w:ascii="Times New Roman" w:hAnsi="Times New Roman" w:cs="Times New Roman"/>
          <w:b/>
          <w:bCs/>
          <w:sz w:val="20"/>
          <w:szCs w:val="20"/>
        </w:rPr>
      </w:pPr>
    </w:p>
    <w:p w14:paraId="2C1032FC" w14:textId="77777777" w:rsidR="00402113" w:rsidRDefault="00402113">
      <w:pPr>
        <w:rPr>
          <w:rFonts w:ascii="Times New Roman" w:hAnsi="Times New Roman" w:cs="Times New Roman"/>
          <w:b/>
          <w:bCs/>
          <w:sz w:val="20"/>
          <w:szCs w:val="20"/>
        </w:rPr>
      </w:pPr>
    </w:p>
    <w:p w14:paraId="311CE9DA" w14:textId="77777777" w:rsidR="00402113" w:rsidRDefault="00402113">
      <w:pPr>
        <w:rPr>
          <w:rFonts w:ascii="Times New Roman" w:hAnsi="Times New Roman" w:cs="Times New Roman"/>
          <w:b/>
          <w:bCs/>
          <w:sz w:val="20"/>
          <w:szCs w:val="20"/>
        </w:rPr>
      </w:pPr>
    </w:p>
    <w:p w14:paraId="7BF92255" w14:textId="77777777" w:rsidR="00402113" w:rsidRDefault="00402113">
      <w:pPr>
        <w:rPr>
          <w:rFonts w:ascii="Times New Roman" w:hAnsi="Times New Roman" w:cs="Times New Roman"/>
          <w:b/>
          <w:bCs/>
          <w:sz w:val="20"/>
          <w:szCs w:val="20"/>
        </w:rPr>
      </w:pPr>
    </w:p>
    <w:p w14:paraId="6935C67A" w14:textId="77777777" w:rsidR="00402113" w:rsidRDefault="00402113">
      <w:pPr>
        <w:rPr>
          <w:rFonts w:ascii="Times New Roman" w:hAnsi="Times New Roman" w:cs="Times New Roman"/>
          <w:b/>
          <w:bCs/>
          <w:sz w:val="20"/>
          <w:szCs w:val="20"/>
        </w:rPr>
      </w:pPr>
    </w:p>
    <w:p w14:paraId="1E7B538F" w14:textId="77777777" w:rsidR="00402113" w:rsidRDefault="00402113">
      <w:pPr>
        <w:rPr>
          <w:rFonts w:ascii="Times New Roman" w:hAnsi="Times New Roman" w:cs="Times New Roman"/>
          <w:b/>
          <w:bCs/>
          <w:sz w:val="20"/>
          <w:szCs w:val="20"/>
        </w:rPr>
      </w:pPr>
    </w:p>
    <w:tbl>
      <w:tblPr>
        <w:tblStyle w:val="TableGrid"/>
        <w:tblW w:w="143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5"/>
        <w:gridCol w:w="2130"/>
        <w:gridCol w:w="2130"/>
        <w:gridCol w:w="2130"/>
        <w:gridCol w:w="3903"/>
        <w:gridCol w:w="2397"/>
      </w:tblGrid>
      <w:tr w:rsidR="00402113" w:rsidRPr="004B7799" w14:paraId="3FFD2D8F" w14:textId="77777777" w:rsidTr="004D0886">
        <w:trPr>
          <w:trHeight w:val="233"/>
        </w:trPr>
        <w:tc>
          <w:tcPr>
            <w:tcW w:w="14395" w:type="dxa"/>
            <w:gridSpan w:val="6"/>
            <w:shd w:val="clear" w:color="auto" w:fill="A8D08D" w:themeFill="accent6" w:themeFillTint="99"/>
          </w:tcPr>
          <w:p w14:paraId="5DA28CB7" w14:textId="76899307" w:rsidR="00402113" w:rsidRPr="004B7799" w:rsidRDefault="00402113" w:rsidP="00216389">
            <w:pPr>
              <w:rPr>
                <w:rFonts w:ascii="Times New Roman" w:hAnsi="Times New Roman" w:cs="Times New Roman"/>
                <w:b/>
                <w:bCs/>
                <w:sz w:val="20"/>
                <w:szCs w:val="20"/>
              </w:rPr>
            </w:pPr>
            <w:r w:rsidRPr="00C177D8">
              <w:rPr>
                <w:rFonts w:ascii="Times New Roman" w:hAnsi="Times New Roman" w:cs="Times New Roman"/>
                <w:b/>
                <w:bCs/>
              </w:rPr>
              <w:t>Standard 12: Code of Ethics for Idaho Professional Educators</w:t>
            </w:r>
          </w:p>
        </w:tc>
      </w:tr>
      <w:tr w:rsidR="00402113" w:rsidRPr="004B7799" w14:paraId="7FD690C6" w14:textId="77777777" w:rsidTr="004D0886">
        <w:trPr>
          <w:trHeight w:val="233"/>
        </w:trPr>
        <w:tc>
          <w:tcPr>
            <w:tcW w:w="1705" w:type="dxa"/>
            <w:shd w:val="clear" w:color="auto" w:fill="C5E0B3" w:themeFill="accent6" w:themeFillTint="66"/>
          </w:tcPr>
          <w:p w14:paraId="6EC9A20F"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shd w:val="clear" w:color="auto" w:fill="C5E0B3" w:themeFill="accent6" w:themeFillTint="66"/>
          </w:tcPr>
          <w:p w14:paraId="485B14DB"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shd w:val="clear" w:color="auto" w:fill="B4C6E7" w:themeFill="accent1" w:themeFillTint="66"/>
          </w:tcPr>
          <w:p w14:paraId="693BF5B0"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shd w:val="clear" w:color="auto" w:fill="C5E0B3" w:themeFill="accent6" w:themeFillTint="66"/>
          </w:tcPr>
          <w:p w14:paraId="3C4D62DD"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402113" w:rsidRPr="004B7799" w14:paraId="7687E169" w14:textId="77777777" w:rsidTr="004D0886">
        <w:trPr>
          <w:trHeight w:val="233"/>
        </w:trPr>
        <w:tc>
          <w:tcPr>
            <w:tcW w:w="1705" w:type="dxa"/>
            <w:shd w:val="clear" w:color="auto" w:fill="C5E0B3" w:themeFill="accent6" w:themeFillTint="66"/>
          </w:tcPr>
          <w:p w14:paraId="657CE99F"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shd w:val="clear" w:color="auto" w:fill="C5E0B3" w:themeFill="accent6" w:themeFillTint="66"/>
          </w:tcPr>
          <w:p w14:paraId="041B75F9"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shd w:val="clear" w:color="auto" w:fill="C5E0B3" w:themeFill="accent6" w:themeFillTint="66"/>
          </w:tcPr>
          <w:p w14:paraId="2C897294"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shd w:val="clear" w:color="auto" w:fill="C5E0B3" w:themeFill="accent6" w:themeFillTint="66"/>
          </w:tcPr>
          <w:p w14:paraId="2FFD562F"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shd w:val="clear" w:color="auto" w:fill="B4C6E7" w:themeFill="accent1" w:themeFillTint="66"/>
          </w:tcPr>
          <w:p w14:paraId="24E00851"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shd w:val="clear" w:color="auto" w:fill="C5E0B3" w:themeFill="accent6" w:themeFillTint="66"/>
          </w:tcPr>
          <w:p w14:paraId="41ABCA97"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5</w:t>
            </w:r>
          </w:p>
        </w:tc>
      </w:tr>
      <w:tr w:rsidR="00402113" w:rsidRPr="004B7799" w14:paraId="1C720712" w14:textId="77777777" w:rsidTr="004D0886">
        <w:trPr>
          <w:trHeight w:val="233"/>
        </w:trPr>
        <w:tc>
          <w:tcPr>
            <w:tcW w:w="1705" w:type="dxa"/>
            <w:shd w:val="clear" w:color="auto" w:fill="E2EFD9" w:themeFill="accent6" w:themeFillTint="33"/>
          </w:tcPr>
          <w:p w14:paraId="55DF8230" w14:textId="00FCE2EE"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is not aware of the existence of a code of ethics governing the practice of professional educators in Idaho.</w:t>
            </w:r>
          </w:p>
        </w:tc>
        <w:tc>
          <w:tcPr>
            <w:tcW w:w="2130" w:type="dxa"/>
            <w:shd w:val="clear" w:color="auto" w:fill="E2EFD9" w:themeFill="accent6" w:themeFillTint="33"/>
          </w:tcPr>
          <w:p w14:paraId="7A924DD1" w14:textId="3DDBC7AF"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is aware of the existence of a code of ethics governing the practice of professional educators in Idaho. </w:t>
            </w:r>
          </w:p>
        </w:tc>
        <w:tc>
          <w:tcPr>
            <w:tcW w:w="2130" w:type="dxa"/>
            <w:shd w:val="clear" w:color="auto" w:fill="E2EFD9" w:themeFill="accent6" w:themeFillTint="33"/>
          </w:tcPr>
          <w:p w14:paraId="59C037B8" w14:textId="11DB704F"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understands the central tenets of the Code of Ethics for Professional Educators.</w:t>
            </w:r>
          </w:p>
        </w:tc>
        <w:tc>
          <w:tcPr>
            <w:tcW w:w="2130" w:type="dxa"/>
            <w:shd w:val="clear" w:color="auto" w:fill="E2EFD9" w:themeFill="accent6" w:themeFillTint="33"/>
          </w:tcPr>
          <w:p w14:paraId="3E268428" w14:textId="2DDF28BF"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can cite the value of the Code of Ethics for Professional Educators in maintaining the integrity of the profession.</w:t>
            </w:r>
          </w:p>
        </w:tc>
        <w:tc>
          <w:tcPr>
            <w:tcW w:w="3903" w:type="dxa"/>
            <w:shd w:val="clear" w:color="auto" w:fill="D9E2F3" w:themeFill="accent1" w:themeFillTint="33"/>
          </w:tcPr>
          <w:p w14:paraId="66A8C51A" w14:textId="3B683BF0"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understands the Code of Ethics for Idaho Professional Educators and its place in supporting the integrity of the profession.</w:t>
            </w:r>
          </w:p>
        </w:tc>
        <w:tc>
          <w:tcPr>
            <w:tcW w:w="2397" w:type="dxa"/>
            <w:shd w:val="clear" w:color="auto" w:fill="E2EFD9" w:themeFill="accent6" w:themeFillTint="33"/>
          </w:tcPr>
          <w:p w14:paraId="739E56BA" w14:textId="54CB4587"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seeks additional opportunities to understand and implement ethical practice. </w:t>
            </w:r>
          </w:p>
        </w:tc>
      </w:tr>
    </w:tbl>
    <w:p w14:paraId="58FB4ED4" w14:textId="77777777" w:rsidR="00402113" w:rsidRDefault="00402113">
      <w:pPr>
        <w:rPr>
          <w:rFonts w:ascii="Times New Roman" w:hAnsi="Times New Roman" w:cs="Times New Roman"/>
          <w:b/>
          <w:bCs/>
          <w:sz w:val="20"/>
          <w:szCs w:val="20"/>
        </w:rPr>
      </w:pPr>
    </w:p>
    <w:p w14:paraId="134918EF" w14:textId="77777777" w:rsidR="00402113" w:rsidRDefault="00402113">
      <w:pPr>
        <w:rPr>
          <w:rFonts w:ascii="Times New Roman" w:hAnsi="Times New Roman" w:cs="Times New Roman"/>
          <w:b/>
          <w:bCs/>
          <w:sz w:val="20"/>
          <w:szCs w:val="20"/>
        </w:rPr>
      </w:pPr>
    </w:p>
    <w:p w14:paraId="1F8771E7" w14:textId="77777777" w:rsidR="00EA610B" w:rsidRDefault="00EA610B">
      <w:pPr>
        <w:rPr>
          <w:rFonts w:ascii="Times New Roman" w:hAnsi="Times New Roman" w:cs="Times New Roman"/>
          <w:b/>
          <w:bCs/>
          <w:sz w:val="20"/>
          <w:szCs w:val="20"/>
        </w:rPr>
      </w:pPr>
    </w:p>
    <w:tbl>
      <w:tblPr>
        <w:tblStyle w:val="TableGrid"/>
        <w:tblW w:w="14395" w:type="dxa"/>
        <w:tblLook w:val="04A0" w:firstRow="1" w:lastRow="0" w:firstColumn="1" w:lastColumn="0" w:noHBand="0" w:noVBand="1"/>
      </w:tblPr>
      <w:tblGrid>
        <w:gridCol w:w="1705"/>
        <w:gridCol w:w="2130"/>
        <w:gridCol w:w="2130"/>
        <w:gridCol w:w="2130"/>
        <w:gridCol w:w="3903"/>
        <w:gridCol w:w="2397"/>
      </w:tblGrid>
      <w:tr w:rsidR="00402113" w:rsidRPr="004B7799" w14:paraId="075A3195" w14:textId="77777777" w:rsidTr="004D0886">
        <w:trPr>
          <w:trHeight w:val="233"/>
        </w:trPr>
        <w:tc>
          <w:tcPr>
            <w:tcW w:w="14395" w:type="dxa"/>
            <w:gridSpan w:val="6"/>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874E3F7" w14:textId="77D665FC" w:rsidR="00402113" w:rsidRPr="004B7799" w:rsidRDefault="00402113" w:rsidP="00216389">
            <w:pPr>
              <w:rPr>
                <w:rFonts w:ascii="Times New Roman" w:hAnsi="Times New Roman" w:cs="Times New Roman"/>
                <w:b/>
                <w:bCs/>
                <w:sz w:val="20"/>
                <w:szCs w:val="20"/>
              </w:rPr>
            </w:pPr>
            <w:r w:rsidRPr="00C177D8">
              <w:rPr>
                <w:rFonts w:ascii="Times New Roman" w:hAnsi="Times New Roman" w:cs="Times New Roman"/>
                <w:b/>
                <w:bCs/>
              </w:rPr>
              <w:t>Standard 13: Digital Technology and Online Learning</w:t>
            </w:r>
          </w:p>
        </w:tc>
      </w:tr>
      <w:tr w:rsidR="00402113" w:rsidRPr="004B7799" w14:paraId="7CC76ADC"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2A2CD31C"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Below Minimum Requirement of Proficiency</w:t>
            </w:r>
          </w:p>
        </w:tc>
        <w:tc>
          <w:tcPr>
            <w:tcW w:w="6390" w:type="dxa"/>
            <w:gridSpan w:val="3"/>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4AB9292"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Teacher Apprentice</w:t>
            </w:r>
            <w:r>
              <w:rPr>
                <w:rFonts w:ascii="Times New Roman" w:hAnsi="Times New Roman" w:cs="Times New Roman"/>
                <w:b/>
                <w:bCs/>
                <w:sz w:val="20"/>
                <w:szCs w:val="20"/>
              </w:rPr>
              <w:t xml:space="preserve"> is</w:t>
            </w:r>
            <w:r w:rsidRPr="004B7799">
              <w:rPr>
                <w:rFonts w:ascii="Times New Roman" w:hAnsi="Times New Roman" w:cs="Times New Roman"/>
                <w:b/>
                <w:bCs/>
                <w:sz w:val="20"/>
                <w:szCs w:val="20"/>
              </w:rPr>
              <w:t xml:space="preserve"> Approaching </w:t>
            </w:r>
            <w:r>
              <w:rPr>
                <w:rFonts w:ascii="Times New Roman" w:hAnsi="Times New Roman" w:cs="Times New Roman"/>
                <w:b/>
                <w:bCs/>
                <w:sz w:val="20"/>
                <w:szCs w:val="20"/>
              </w:rPr>
              <w:t xml:space="preserve">Minimum Requirement of </w:t>
            </w:r>
            <w:r w:rsidRPr="004B7799">
              <w:rPr>
                <w:rFonts w:ascii="Times New Roman" w:hAnsi="Times New Roman" w:cs="Times New Roman"/>
                <w:b/>
                <w:bCs/>
                <w:sz w:val="20"/>
                <w:szCs w:val="20"/>
              </w:rPr>
              <w:t>Proficiency</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1522A3C3"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Minimum Requirement of Proficiency</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6CF13692" w14:textId="77777777" w:rsidR="00402113" w:rsidRPr="004B7799" w:rsidRDefault="00402113" w:rsidP="00216389">
            <w:pPr>
              <w:jc w:val="center"/>
              <w:rPr>
                <w:rFonts w:ascii="Times New Roman" w:hAnsi="Times New Roman" w:cs="Times New Roman"/>
                <w:b/>
                <w:bCs/>
                <w:sz w:val="20"/>
                <w:szCs w:val="20"/>
              </w:rPr>
            </w:pPr>
            <w:r w:rsidRPr="004B7799">
              <w:rPr>
                <w:rFonts w:ascii="Times New Roman" w:hAnsi="Times New Roman" w:cs="Times New Roman"/>
                <w:b/>
                <w:bCs/>
                <w:sz w:val="20"/>
                <w:szCs w:val="20"/>
              </w:rPr>
              <w:t>Exceeds Minimum Requirement of Proficiency</w:t>
            </w:r>
          </w:p>
        </w:tc>
      </w:tr>
      <w:tr w:rsidR="00402113" w:rsidRPr="004B7799" w14:paraId="366512EF"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095B6273"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0</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1DC983E"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1</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56C93A6B"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2</w:t>
            </w:r>
          </w:p>
        </w:tc>
        <w:tc>
          <w:tcPr>
            <w:tcW w:w="2130"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00D3080C"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3</w:t>
            </w:r>
          </w:p>
        </w:tc>
        <w:tc>
          <w:tcPr>
            <w:tcW w:w="3903" w:type="dxa"/>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3AE85A6C"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4</w:t>
            </w:r>
          </w:p>
        </w:tc>
        <w:tc>
          <w:tcPr>
            <w:tcW w:w="2397"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7EE1C590" w14:textId="77777777" w:rsidR="00402113" w:rsidRPr="00C177D8" w:rsidRDefault="00402113" w:rsidP="00216389">
            <w:pPr>
              <w:jc w:val="center"/>
              <w:rPr>
                <w:rFonts w:ascii="Times New Roman" w:hAnsi="Times New Roman" w:cs="Times New Roman"/>
                <w:b/>
                <w:bCs/>
              </w:rPr>
            </w:pPr>
            <w:r w:rsidRPr="00C177D8">
              <w:rPr>
                <w:rFonts w:ascii="Times New Roman" w:hAnsi="Times New Roman" w:cs="Times New Roman"/>
                <w:b/>
                <w:bCs/>
              </w:rPr>
              <w:t>5</w:t>
            </w:r>
          </w:p>
        </w:tc>
      </w:tr>
      <w:tr w:rsidR="00402113" w:rsidRPr="004B7799" w14:paraId="340188AA" w14:textId="77777777" w:rsidTr="004D0886">
        <w:trPr>
          <w:trHeight w:val="233"/>
        </w:trPr>
        <w:tc>
          <w:tcPr>
            <w:tcW w:w="170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E942AC5" w14:textId="1B184504"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does not use digital technology in facilitation of instruction.</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539C07F" w14:textId="158B56C8"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conveys the value of the use of digital technology in facilitation of instruction.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39ACEC8" w14:textId="425DC7C1"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understands the tools available for incorporating digital technology into instruction. </w:t>
            </w:r>
          </w:p>
        </w:tc>
        <w:tc>
          <w:tcPr>
            <w:tcW w:w="2130"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4FBB83B" w14:textId="7FB4B4F4"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incorporates digital technology into lesson plans/ instruction.</w:t>
            </w:r>
          </w:p>
        </w:tc>
        <w:tc>
          <w:tcPr>
            <w:tcW w:w="3903"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67D786A6" w14:textId="4F0C4E65"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The teacher apprentice knows how to use digital technology to create lessons and facilitate instruction and assessment in face‐to‐face, blended, and online learning environments to engage students and enhance learning.</w:t>
            </w:r>
          </w:p>
        </w:tc>
        <w:tc>
          <w:tcPr>
            <w:tcW w:w="2397"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25578A1" w14:textId="72C52AA8" w:rsidR="00402113" w:rsidRPr="004B7799" w:rsidRDefault="00402113" w:rsidP="00402113">
            <w:pPr>
              <w:jc w:val="center"/>
              <w:rPr>
                <w:rFonts w:ascii="Times New Roman" w:hAnsi="Times New Roman" w:cs="Times New Roman"/>
                <w:b/>
                <w:bCs/>
                <w:sz w:val="20"/>
                <w:szCs w:val="20"/>
              </w:rPr>
            </w:pPr>
            <w:r w:rsidRPr="004B7799">
              <w:rPr>
                <w:rFonts w:ascii="Times New Roman" w:hAnsi="Times New Roman" w:cs="Times New Roman"/>
                <w:sz w:val="20"/>
                <w:szCs w:val="20"/>
              </w:rPr>
              <w:t xml:space="preserve">The teacher apprentice engages learners in the creation of instruction and assessment in support of enhanced learning. </w:t>
            </w:r>
          </w:p>
        </w:tc>
      </w:tr>
    </w:tbl>
    <w:p w14:paraId="0369B61A" w14:textId="77777777" w:rsidR="00402113" w:rsidRDefault="00402113">
      <w:pPr>
        <w:rPr>
          <w:rFonts w:ascii="Times New Roman" w:hAnsi="Times New Roman" w:cs="Times New Roman"/>
          <w:b/>
          <w:bCs/>
          <w:sz w:val="20"/>
          <w:szCs w:val="20"/>
        </w:rPr>
      </w:pPr>
    </w:p>
    <w:p w14:paraId="2E89A974" w14:textId="785F09B3" w:rsidR="004D3178" w:rsidRPr="00E9016F" w:rsidRDefault="004D3178" w:rsidP="00C77D40">
      <w:pPr>
        <w:rPr>
          <w:rFonts w:ascii="Times New Roman" w:hAnsi="Times New Roman" w:cs="Times New Roman"/>
          <w:sz w:val="22"/>
          <w:szCs w:val="22"/>
        </w:rPr>
      </w:pPr>
    </w:p>
    <w:sectPr w:rsidR="004D3178" w:rsidRPr="00E9016F" w:rsidSect="002B07E7">
      <w:headerReference w:type="default"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D469B" w14:textId="77777777" w:rsidR="002B07E7" w:rsidRDefault="002B07E7" w:rsidP="00504820">
      <w:r>
        <w:separator/>
      </w:r>
    </w:p>
  </w:endnote>
  <w:endnote w:type="continuationSeparator" w:id="0">
    <w:p w14:paraId="662E4E7D" w14:textId="77777777" w:rsidR="002B07E7" w:rsidRDefault="002B07E7" w:rsidP="0050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8685284"/>
      <w:docPartObj>
        <w:docPartGallery w:val="Page Numbers (Bottom of Page)"/>
        <w:docPartUnique/>
      </w:docPartObj>
    </w:sdtPr>
    <w:sdtEndPr>
      <w:rPr>
        <w:rFonts w:ascii="Times New Roman" w:hAnsi="Times New Roman" w:cs="Times New Roman"/>
      </w:rPr>
    </w:sdtEndPr>
    <w:sdtContent>
      <w:sdt>
        <w:sdtPr>
          <w:id w:val="-1769616900"/>
          <w:docPartObj>
            <w:docPartGallery w:val="Page Numbers (Top of Page)"/>
            <w:docPartUnique/>
          </w:docPartObj>
        </w:sdtPr>
        <w:sdtEndPr>
          <w:rPr>
            <w:rFonts w:ascii="Times New Roman" w:hAnsi="Times New Roman" w:cs="Times New Roman"/>
          </w:rPr>
        </w:sdtEndPr>
        <w:sdtContent>
          <w:p w14:paraId="016AB56C" w14:textId="0B235198" w:rsidR="00504820" w:rsidRPr="00132F0F" w:rsidRDefault="00504820">
            <w:pPr>
              <w:pStyle w:val="Footer"/>
              <w:jc w:val="right"/>
            </w:pPr>
          </w:p>
          <w:p w14:paraId="36B09B77" w14:textId="093FD069" w:rsidR="00504820" w:rsidRPr="00132F0F" w:rsidRDefault="46EA87B4" w:rsidP="00C77D40">
            <w:pPr>
              <w:jc w:val="center"/>
              <w:rPr>
                <w:rFonts w:ascii="Times New Roman" w:hAnsi="Times New Roman" w:cs="Times New Roman"/>
              </w:rPr>
            </w:pPr>
            <w:r w:rsidRPr="46EA87B4">
              <w:rPr>
                <w:rFonts w:ascii="Times New Roman" w:hAnsi="Times New Roman" w:cs="Times New Roman"/>
                <w:sz w:val="20"/>
                <w:szCs w:val="20"/>
              </w:rPr>
              <w:t xml:space="preserve">Educator RAP RTI Rubric | 2026 </w:t>
            </w:r>
            <w:r w:rsidR="00973543">
              <w:tab/>
            </w:r>
            <w:r w:rsidRPr="46EA87B4">
              <w:rPr>
                <w:rFonts w:ascii="Times New Roman" w:hAnsi="Times New Roman" w:cs="Times New Roman"/>
                <w:sz w:val="20"/>
                <w:szCs w:val="20"/>
              </w:rPr>
              <w:t>*This is an adapted University of Idaho rubric.</w:t>
            </w:r>
            <w:r w:rsidR="00973543">
              <w:tab/>
            </w:r>
            <w:r w:rsidR="00973543">
              <w:tab/>
            </w:r>
            <w:r w:rsidR="00973543">
              <w:tab/>
            </w:r>
            <w:r w:rsidR="00973543">
              <w:tab/>
            </w:r>
            <w:r w:rsidRPr="46EA87B4">
              <w:rPr>
                <w:rFonts w:ascii="Times New Roman" w:hAnsi="Times New Roman" w:cs="Times New Roman"/>
                <w:sz w:val="20"/>
                <w:szCs w:val="20"/>
              </w:rPr>
              <w:t xml:space="preserve">Page </w:t>
            </w:r>
            <w:r w:rsidR="00973543" w:rsidRPr="46EA87B4">
              <w:rPr>
                <w:rFonts w:ascii="Times New Roman" w:hAnsi="Times New Roman" w:cs="Times New Roman"/>
                <w:b/>
                <w:bCs/>
                <w:noProof/>
                <w:sz w:val="20"/>
                <w:szCs w:val="20"/>
              </w:rPr>
              <w:fldChar w:fldCharType="begin"/>
            </w:r>
            <w:r w:rsidR="00973543" w:rsidRPr="46EA87B4">
              <w:rPr>
                <w:rFonts w:ascii="Times New Roman" w:hAnsi="Times New Roman" w:cs="Times New Roman"/>
                <w:b/>
                <w:bCs/>
                <w:sz w:val="20"/>
                <w:szCs w:val="20"/>
              </w:rPr>
              <w:instrText xml:space="preserve"> PAGE </w:instrText>
            </w:r>
            <w:r w:rsidR="00973543" w:rsidRPr="46EA87B4">
              <w:rPr>
                <w:rFonts w:ascii="Times New Roman" w:hAnsi="Times New Roman" w:cs="Times New Roman"/>
                <w:b/>
                <w:bCs/>
                <w:sz w:val="20"/>
                <w:szCs w:val="20"/>
              </w:rPr>
              <w:fldChar w:fldCharType="separate"/>
            </w:r>
            <w:r w:rsidRPr="46EA87B4">
              <w:rPr>
                <w:rFonts w:ascii="Times New Roman" w:hAnsi="Times New Roman" w:cs="Times New Roman"/>
                <w:b/>
                <w:bCs/>
                <w:noProof/>
                <w:sz w:val="20"/>
                <w:szCs w:val="20"/>
              </w:rPr>
              <w:t>2</w:t>
            </w:r>
            <w:r w:rsidR="00973543" w:rsidRPr="46EA87B4">
              <w:rPr>
                <w:rFonts w:ascii="Times New Roman" w:hAnsi="Times New Roman" w:cs="Times New Roman"/>
                <w:b/>
                <w:bCs/>
                <w:noProof/>
                <w:sz w:val="20"/>
                <w:szCs w:val="20"/>
              </w:rPr>
              <w:fldChar w:fldCharType="end"/>
            </w:r>
            <w:r w:rsidRPr="46EA87B4">
              <w:rPr>
                <w:rFonts w:ascii="Times New Roman" w:hAnsi="Times New Roman" w:cs="Times New Roman"/>
                <w:sz w:val="20"/>
                <w:szCs w:val="20"/>
              </w:rPr>
              <w:t xml:space="preserve"> of </w:t>
            </w:r>
            <w:r w:rsidR="00973543" w:rsidRPr="46EA87B4">
              <w:rPr>
                <w:rFonts w:ascii="Times New Roman" w:hAnsi="Times New Roman" w:cs="Times New Roman"/>
                <w:b/>
                <w:bCs/>
                <w:noProof/>
                <w:sz w:val="20"/>
                <w:szCs w:val="20"/>
              </w:rPr>
              <w:fldChar w:fldCharType="begin"/>
            </w:r>
            <w:r w:rsidR="00973543" w:rsidRPr="46EA87B4">
              <w:rPr>
                <w:rFonts w:ascii="Times New Roman" w:hAnsi="Times New Roman" w:cs="Times New Roman"/>
                <w:b/>
                <w:bCs/>
                <w:sz w:val="20"/>
                <w:szCs w:val="20"/>
              </w:rPr>
              <w:instrText xml:space="preserve"> NUMPAGES  </w:instrText>
            </w:r>
            <w:r w:rsidR="00973543" w:rsidRPr="46EA87B4">
              <w:rPr>
                <w:rFonts w:ascii="Times New Roman" w:hAnsi="Times New Roman" w:cs="Times New Roman"/>
                <w:b/>
                <w:bCs/>
                <w:sz w:val="20"/>
                <w:szCs w:val="20"/>
              </w:rPr>
              <w:fldChar w:fldCharType="separate"/>
            </w:r>
            <w:r w:rsidRPr="46EA87B4">
              <w:rPr>
                <w:rFonts w:ascii="Times New Roman" w:hAnsi="Times New Roman" w:cs="Times New Roman"/>
                <w:b/>
                <w:bCs/>
                <w:noProof/>
                <w:sz w:val="20"/>
                <w:szCs w:val="20"/>
              </w:rPr>
              <w:t>2</w:t>
            </w:r>
            <w:r w:rsidR="00973543" w:rsidRPr="46EA87B4">
              <w:rPr>
                <w:rFonts w:ascii="Times New Roman" w:hAnsi="Times New Roman" w:cs="Times New Roman"/>
                <w:b/>
                <w:bCs/>
                <w:noProof/>
                <w:sz w:val="20"/>
                <w:szCs w:val="20"/>
              </w:rPr>
              <w:fldChar w:fldCharType="end"/>
            </w:r>
          </w:p>
        </w:sdtContent>
      </w:sdt>
    </w:sdtContent>
  </w:sdt>
  <w:p w14:paraId="2D3C92D5" w14:textId="50D119E1" w:rsidR="00504820" w:rsidRPr="00132F0F" w:rsidRDefault="00504820">
    <w:pPr>
      <w:pStyle w:val="Footer"/>
      <w:rPr>
        <w:rFonts w:ascii="Times New Roman" w:hAnsi="Times New Roman" w:cs="Times New Roman"/>
        <w:sz w:val="22"/>
        <w:szCs w:val="22"/>
      </w:rPr>
    </w:pPr>
    <w:r>
      <w:tab/>
    </w:r>
    <w:r>
      <w:tab/>
    </w:r>
    <w:r>
      <w:tab/>
    </w:r>
    <w:r w:rsidRPr="00973543">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D99A4" w14:textId="77777777" w:rsidR="002B07E7" w:rsidRDefault="002B07E7" w:rsidP="00504820">
      <w:r>
        <w:separator/>
      </w:r>
    </w:p>
  </w:footnote>
  <w:footnote w:type="continuationSeparator" w:id="0">
    <w:p w14:paraId="331A65EE" w14:textId="77777777" w:rsidR="002B07E7" w:rsidRDefault="002B07E7" w:rsidP="00504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849D" w14:textId="3D44424C" w:rsidR="00504820" w:rsidRDefault="46EA87B4" w:rsidP="2A42F017">
    <w:pPr>
      <w:jc w:val="center"/>
    </w:pPr>
    <w:r w:rsidRPr="46EA87B4">
      <w:rPr>
        <w:rFonts w:ascii="Times New Roman" w:hAnsi="Times New Roman" w:cs="Times New Roman"/>
        <w:b/>
        <w:bCs/>
      </w:rPr>
      <w:t xml:space="preserve">Educator Registered Apprenticeship Program Related Technical Instruction Rubric              </w:t>
    </w:r>
    <w:r>
      <w:rPr>
        <w:noProof/>
      </w:rPr>
      <w:drawing>
        <wp:inline distT="0" distB="0" distL="0" distR="0" wp14:anchorId="0BAD3B65" wp14:editId="6F5371BC">
          <wp:extent cx="1667107" cy="897184"/>
          <wp:effectExtent l="0" t="0" r="0" b="0"/>
          <wp:docPr id="1201533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33345" name="Picture 1201533345"/>
                  <pic:cNvPicPr/>
                </pic:nvPicPr>
                <pic:blipFill>
                  <a:blip r:embed="rId1">
                    <a:extLst>
                      <a:ext uri="{28A0092B-C50C-407E-A947-70E740481C1C}">
                        <a14:useLocalDpi xmlns:a14="http://schemas.microsoft.com/office/drawing/2010/main"/>
                      </a:ext>
                    </a:extLst>
                  </a:blip>
                  <a:stretch>
                    <a:fillRect/>
                  </a:stretch>
                </pic:blipFill>
                <pic:spPr>
                  <a:xfrm>
                    <a:off x="0" y="0"/>
                    <a:ext cx="1667107" cy="897184"/>
                  </a:xfrm>
                  <a:prstGeom prst="rect">
                    <a:avLst/>
                  </a:prstGeom>
                </pic:spPr>
              </pic:pic>
            </a:graphicData>
          </a:graphic>
        </wp:inline>
      </w:drawing>
    </w:r>
  </w:p>
  <w:p w14:paraId="70744A84" w14:textId="77777777" w:rsidR="00BC29D6" w:rsidRPr="0061147E" w:rsidRDefault="00BC29D6" w:rsidP="0061147E">
    <w:pPr>
      <w:jc w:val="center"/>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6" style="width:0;height:1.5pt" o:hralign="center" o:bullet="t" o:hrstd="t" o:hr="t" fillcolor="#a0a0a0" stroked="f"/>
    </w:pict>
  </w:numPicBullet>
  <w:abstractNum w:abstractNumId="0" w15:restartNumberingAfterBreak="0">
    <w:nsid w:val="0BD75AAD"/>
    <w:multiLevelType w:val="hybridMultilevel"/>
    <w:tmpl w:val="C30C2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66604"/>
    <w:multiLevelType w:val="hybridMultilevel"/>
    <w:tmpl w:val="CD9EC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43113E"/>
    <w:multiLevelType w:val="hybridMultilevel"/>
    <w:tmpl w:val="FE022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7B4839"/>
    <w:multiLevelType w:val="hybridMultilevel"/>
    <w:tmpl w:val="04D4B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DB2D1D"/>
    <w:multiLevelType w:val="hybridMultilevel"/>
    <w:tmpl w:val="AF92E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9938A9"/>
    <w:multiLevelType w:val="hybridMultilevel"/>
    <w:tmpl w:val="EC0E8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2E97123"/>
    <w:multiLevelType w:val="hybridMultilevel"/>
    <w:tmpl w:val="192AA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5384603"/>
    <w:multiLevelType w:val="hybridMultilevel"/>
    <w:tmpl w:val="6394B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F6F09A1"/>
    <w:multiLevelType w:val="hybridMultilevel"/>
    <w:tmpl w:val="F8825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2668257">
    <w:abstractNumId w:val="1"/>
  </w:num>
  <w:num w:numId="2" w16cid:durableId="1919097466">
    <w:abstractNumId w:val="8"/>
  </w:num>
  <w:num w:numId="3" w16cid:durableId="128129977">
    <w:abstractNumId w:val="5"/>
  </w:num>
  <w:num w:numId="4" w16cid:durableId="959456861">
    <w:abstractNumId w:val="7"/>
  </w:num>
  <w:num w:numId="5" w16cid:durableId="34164881">
    <w:abstractNumId w:val="0"/>
  </w:num>
  <w:num w:numId="6" w16cid:durableId="863249577">
    <w:abstractNumId w:val="4"/>
  </w:num>
  <w:num w:numId="7" w16cid:durableId="327709462">
    <w:abstractNumId w:val="6"/>
  </w:num>
  <w:num w:numId="8" w16cid:durableId="723676735">
    <w:abstractNumId w:val="3"/>
  </w:num>
  <w:num w:numId="9" w16cid:durableId="2141262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E6"/>
    <w:rsid w:val="000048EA"/>
    <w:rsid w:val="00037B93"/>
    <w:rsid w:val="000460D3"/>
    <w:rsid w:val="00061B91"/>
    <w:rsid w:val="00064002"/>
    <w:rsid w:val="00075E10"/>
    <w:rsid w:val="000768CA"/>
    <w:rsid w:val="00091C7E"/>
    <w:rsid w:val="000942E7"/>
    <w:rsid w:val="000C339D"/>
    <w:rsid w:val="000D00F9"/>
    <w:rsid w:val="000D6A2B"/>
    <w:rsid w:val="000D7D0F"/>
    <w:rsid w:val="000E5A85"/>
    <w:rsid w:val="000E676D"/>
    <w:rsid w:val="000F5A18"/>
    <w:rsid w:val="0010758B"/>
    <w:rsid w:val="00120896"/>
    <w:rsid w:val="0012585A"/>
    <w:rsid w:val="00131C74"/>
    <w:rsid w:val="00132F0F"/>
    <w:rsid w:val="00143301"/>
    <w:rsid w:val="0017102F"/>
    <w:rsid w:val="00185FBB"/>
    <w:rsid w:val="001A4428"/>
    <w:rsid w:val="001C2E72"/>
    <w:rsid w:val="001D0EDB"/>
    <w:rsid w:val="001F5EF6"/>
    <w:rsid w:val="00216C8D"/>
    <w:rsid w:val="00221468"/>
    <w:rsid w:val="002573B0"/>
    <w:rsid w:val="00296555"/>
    <w:rsid w:val="002A1DDC"/>
    <w:rsid w:val="002B07E7"/>
    <w:rsid w:val="002B34CD"/>
    <w:rsid w:val="002B603D"/>
    <w:rsid w:val="002C1685"/>
    <w:rsid w:val="002E3A7B"/>
    <w:rsid w:val="002E53EA"/>
    <w:rsid w:val="002F09A1"/>
    <w:rsid w:val="002F648A"/>
    <w:rsid w:val="00311096"/>
    <w:rsid w:val="0034714A"/>
    <w:rsid w:val="00352B60"/>
    <w:rsid w:val="00364263"/>
    <w:rsid w:val="00364DFC"/>
    <w:rsid w:val="0037322B"/>
    <w:rsid w:val="00381DCA"/>
    <w:rsid w:val="00383FAB"/>
    <w:rsid w:val="00385AFF"/>
    <w:rsid w:val="003A3098"/>
    <w:rsid w:val="003B4DD5"/>
    <w:rsid w:val="003B5D37"/>
    <w:rsid w:val="003D165C"/>
    <w:rsid w:val="003D4A3A"/>
    <w:rsid w:val="003F5B26"/>
    <w:rsid w:val="00402113"/>
    <w:rsid w:val="004159BF"/>
    <w:rsid w:val="004334DE"/>
    <w:rsid w:val="00434FF2"/>
    <w:rsid w:val="0044009A"/>
    <w:rsid w:val="004450BD"/>
    <w:rsid w:val="00472C44"/>
    <w:rsid w:val="004732BD"/>
    <w:rsid w:val="0049022C"/>
    <w:rsid w:val="004A414C"/>
    <w:rsid w:val="004A58F0"/>
    <w:rsid w:val="004A6FD5"/>
    <w:rsid w:val="004B205E"/>
    <w:rsid w:val="004B71BE"/>
    <w:rsid w:val="004B7799"/>
    <w:rsid w:val="004C19CB"/>
    <w:rsid w:val="004C1AEF"/>
    <w:rsid w:val="004D0886"/>
    <w:rsid w:val="004D1647"/>
    <w:rsid w:val="004D3178"/>
    <w:rsid w:val="004E322D"/>
    <w:rsid w:val="00501B96"/>
    <w:rsid w:val="00504820"/>
    <w:rsid w:val="00506296"/>
    <w:rsid w:val="005119C9"/>
    <w:rsid w:val="0051336D"/>
    <w:rsid w:val="00540F4C"/>
    <w:rsid w:val="00545FDC"/>
    <w:rsid w:val="005549F8"/>
    <w:rsid w:val="00571A0A"/>
    <w:rsid w:val="00575C7A"/>
    <w:rsid w:val="005869DB"/>
    <w:rsid w:val="00590BF0"/>
    <w:rsid w:val="0059775E"/>
    <w:rsid w:val="005A07D3"/>
    <w:rsid w:val="005A18E5"/>
    <w:rsid w:val="005A1CFF"/>
    <w:rsid w:val="005B0F98"/>
    <w:rsid w:val="005B5E08"/>
    <w:rsid w:val="005B7FF3"/>
    <w:rsid w:val="005C5C3B"/>
    <w:rsid w:val="005D591B"/>
    <w:rsid w:val="005F6AA3"/>
    <w:rsid w:val="005F788F"/>
    <w:rsid w:val="006107D8"/>
    <w:rsid w:val="006111B8"/>
    <w:rsid w:val="0061147E"/>
    <w:rsid w:val="006133F4"/>
    <w:rsid w:val="00621338"/>
    <w:rsid w:val="00653664"/>
    <w:rsid w:val="00657BD5"/>
    <w:rsid w:val="006634B8"/>
    <w:rsid w:val="00664589"/>
    <w:rsid w:val="00665EBC"/>
    <w:rsid w:val="00676B95"/>
    <w:rsid w:val="00680BFE"/>
    <w:rsid w:val="00685B13"/>
    <w:rsid w:val="006865E6"/>
    <w:rsid w:val="00690E18"/>
    <w:rsid w:val="00693F87"/>
    <w:rsid w:val="006B0233"/>
    <w:rsid w:val="006B329E"/>
    <w:rsid w:val="006B4405"/>
    <w:rsid w:val="006D2D51"/>
    <w:rsid w:val="006F1596"/>
    <w:rsid w:val="006F40F2"/>
    <w:rsid w:val="0071003D"/>
    <w:rsid w:val="0071535D"/>
    <w:rsid w:val="0071633D"/>
    <w:rsid w:val="00733573"/>
    <w:rsid w:val="00760F9C"/>
    <w:rsid w:val="007A68C2"/>
    <w:rsid w:val="007C0767"/>
    <w:rsid w:val="007C7C2B"/>
    <w:rsid w:val="007D0DF5"/>
    <w:rsid w:val="007D1DDD"/>
    <w:rsid w:val="007D51CF"/>
    <w:rsid w:val="007D7108"/>
    <w:rsid w:val="007E07E1"/>
    <w:rsid w:val="007E5997"/>
    <w:rsid w:val="00810AC5"/>
    <w:rsid w:val="00811733"/>
    <w:rsid w:val="00826476"/>
    <w:rsid w:val="008269CD"/>
    <w:rsid w:val="0083332D"/>
    <w:rsid w:val="0083785C"/>
    <w:rsid w:val="00840E53"/>
    <w:rsid w:val="00843243"/>
    <w:rsid w:val="008831E5"/>
    <w:rsid w:val="00890C76"/>
    <w:rsid w:val="008A3B4A"/>
    <w:rsid w:val="008B62D1"/>
    <w:rsid w:val="008C2A00"/>
    <w:rsid w:val="008F1274"/>
    <w:rsid w:val="008F4BB8"/>
    <w:rsid w:val="008F5C8A"/>
    <w:rsid w:val="0090188B"/>
    <w:rsid w:val="00903A2B"/>
    <w:rsid w:val="00903DEA"/>
    <w:rsid w:val="00913412"/>
    <w:rsid w:val="0093567A"/>
    <w:rsid w:val="0095001D"/>
    <w:rsid w:val="009535F5"/>
    <w:rsid w:val="00957369"/>
    <w:rsid w:val="00964B27"/>
    <w:rsid w:val="00965698"/>
    <w:rsid w:val="00973543"/>
    <w:rsid w:val="009A20F0"/>
    <w:rsid w:val="009A5215"/>
    <w:rsid w:val="009B252E"/>
    <w:rsid w:val="009B42BC"/>
    <w:rsid w:val="009D4FE3"/>
    <w:rsid w:val="009E0018"/>
    <w:rsid w:val="009E0A1D"/>
    <w:rsid w:val="009E33CC"/>
    <w:rsid w:val="009E44B9"/>
    <w:rsid w:val="009F1345"/>
    <w:rsid w:val="009F4CA1"/>
    <w:rsid w:val="00A00162"/>
    <w:rsid w:val="00A14AFF"/>
    <w:rsid w:val="00A14E09"/>
    <w:rsid w:val="00A27513"/>
    <w:rsid w:val="00A2752B"/>
    <w:rsid w:val="00A279C2"/>
    <w:rsid w:val="00A43A1B"/>
    <w:rsid w:val="00A45192"/>
    <w:rsid w:val="00A77065"/>
    <w:rsid w:val="00AA70FA"/>
    <w:rsid w:val="00AB69C0"/>
    <w:rsid w:val="00AE20AB"/>
    <w:rsid w:val="00AE7BE4"/>
    <w:rsid w:val="00AF0FB6"/>
    <w:rsid w:val="00AF46AA"/>
    <w:rsid w:val="00B01285"/>
    <w:rsid w:val="00B17989"/>
    <w:rsid w:val="00B24C6F"/>
    <w:rsid w:val="00B41F68"/>
    <w:rsid w:val="00B45069"/>
    <w:rsid w:val="00B47188"/>
    <w:rsid w:val="00B6799E"/>
    <w:rsid w:val="00B71760"/>
    <w:rsid w:val="00B746CC"/>
    <w:rsid w:val="00B81FC4"/>
    <w:rsid w:val="00B83E36"/>
    <w:rsid w:val="00B9636D"/>
    <w:rsid w:val="00BA024C"/>
    <w:rsid w:val="00BA54E7"/>
    <w:rsid w:val="00BA6E1E"/>
    <w:rsid w:val="00BB01AB"/>
    <w:rsid w:val="00BB3E76"/>
    <w:rsid w:val="00BB4A67"/>
    <w:rsid w:val="00BC0151"/>
    <w:rsid w:val="00BC29D6"/>
    <w:rsid w:val="00BC3C1B"/>
    <w:rsid w:val="00BC3E95"/>
    <w:rsid w:val="00BD03DF"/>
    <w:rsid w:val="00BD3228"/>
    <w:rsid w:val="00BD66EA"/>
    <w:rsid w:val="00BF0D6B"/>
    <w:rsid w:val="00BF6E63"/>
    <w:rsid w:val="00C0504C"/>
    <w:rsid w:val="00C177D8"/>
    <w:rsid w:val="00C23D9E"/>
    <w:rsid w:val="00C250D5"/>
    <w:rsid w:val="00C30D17"/>
    <w:rsid w:val="00C46D95"/>
    <w:rsid w:val="00C531CD"/>
    <w:rsid w:val="00C55FA0"/>
    <w:rsid w:val="00C57800"/>
    <w:rsid w:val="00C61C70"/>
    <w:rsid w:val="00C701BD"/>
    <w:rsid w:val="00C77582"/>
    <w:rsid w:val="00C77D40"/>
    <w:rsid w:val="00C85D3F"/>
    <w:rsid w:val="00C85F14"/>
    <w:rsid w:val="00C87DD0"/>
    <w:rsid w:val="00C920FB"/>
    <w:rsid w:val="00CA2F93"/>
    <w:rsid w:val="00CC07E6"/>
    <w:rsid w:val="00CC35A4"/>
    <w:rsid w:val="00CD448C"/>
    <w:rsid w:val="00CD4730"/>
    <w:rsid w:val="00D00545"/>
    <w:rsid w:val="00D057FD"/>
    <w:rsid w:val="00D15430"/>
    <w:rsid w:val="00D206F1"/>
    <w:rsid w:val="00D278DD"/>
    <w:rsid w:val="00D654BA"/>
    <w:rsid w:val="00D740F6"/>
    <w:rsid w:val="00D7461A"/>
    <w:rsid w:val="00D74E99"/>
    <w:rsid w:val="00D76309"/>
    <w:rsid w:val="00D82339"/>
    <w:rsid w:val="00DA1D90"/>
    <w:rsid w:val="00DC3D01"/>
    <w:rsid w:val="00DD3FF0"/>
    <w:rsid w:val="00DE0077"/>
    <w:rsid w:val="00DF0AAB"/>
    <w:rsid w:val="00E079F6"/>
    <w:rsid w:val="00E442B9"/>
    <w:rsid w:val="00E46D1E"/>
    <w:rsid w:val="00E51140"/>
    <w:rsid w:val="00E55499"/>
    <w:rsid w:val="00E570F0"/>
    <w:rsid w:val="00E63832"/>
    <w:rsid w:val="00E66164"/>
    <w:rsid w:val="00E75CDE"/>
    <w:rsid w:val="00E9016F"/>
    <w:rsid w:val="00EA610B"/>
    <w:rsid w:val="00EC5872"/>
    <w:rsid w:val="00ED7067"/>
    <w:rsid w:val="00EE0B40"/>
    <w:rsid w:val="00EE0F3C"/>
    <w:rsid w:val="00EE773F"/>
    <w:rsid w:val="00F0326B"/>
    <w:rsid w:val="00F257BB"/>
    <w:rsid w:val="00F5618F"/>
    <w:rsid w:val="00F66A8A"/>
    <w:rsid w:val="00F73C5C"/>
    <w:rsid w:val="00F742D7"/>
    <w:rsid w:val="00F75EE0"/>
    <w:rsid w:val="00F9734D"/>
    <w:rsid w:val="00FA64BD"/>
    <w:rsid w:val="00FB0B36"/>
    <w:rsid w:val="00FB4F73"/>
    <w:rsid w:val="00FB592A"/>
    <w:rsid w:val="00FC5BED"/>
    <w:rsid w:val="00FD64CC"/>
    <w:rsid w:val="00FE087F"/>
    <w:rsid w:val="00FE21D7"/>
    <w:rsid w:val="00FE6F51"/>
    <w:rsid w:val="03EFB86D"/>
    <w:rsid w:val="1F8A04E3"/>
    <w:rsid w:val="2A42F017"/>
    <w:rsid w:val="3496564E"/>
    <w:rsid w:val="46EA87B4"/>
    <w:rsid w:val="4BA27F99"/>
    <w:rsid w:val="6F841EB0"/>
    <w:rsid w:val="72D7789A"/>
    <w:rsid w:val="7B13D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C004D09"/>
  <w15:chartTrackingRefBased/>
  <w15:docId w15:val="{14A7BE00-4136-BA4C-9D45-93C3EC72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4820"/>
    <w:pPr>
      <w:tabs>
        <w:tab w:val="center" w:pos="4680"/>
        <w:tab w:val="right" w:pos="9360"/>
      </w:tabs>
    </w:pPr>
  </w:style>
  <w:style w:type="character" w:customStyle="1" w:styleId="HeaderChar">
    <w:name w:val="Header Char"/>
    <w:basedOn w:val="DefaultParagraphFont"/>
    <w:link w:val="Header"/>
    <w:uiPriority w:val="99"/>
    <w:rsid w:val="00504820"/>
  </w:style>
  <w:style w:type="paragraph" w:styleId="Footer">
    <w:name w:val="footer"/>
    <w:basedOn w:val="Normal"/>
    <w:link w:val="FooterChar"/>
    <w:uiPriority w:val="99"/>
    <w:unhideWhenUsed/>
    <w:rsid w:val="00504820"/>
    <w:pPr>
      <w:tabs>
        <w:tab w:val="center" w:pos="4680"/>
        <w:tab w:val="right" w:pos="9360"/>
      </w:tabs>
    </w:pPr>
  </w:style>
  <w:style w:type="character" w:customStyle="1" w:styleId="FooterChar">
    <w:name w:val="Footer Char"/>
    <w:basedOn w:val="DefaultParagraphFont"/>
    <w:link w:val="Footer"/>
    <w:uiPriority w:val="99"/>
    <w:rsid w:val="00504820"/>
  </w:style>
  <w:style w:type="character" w:styleId="Hyperlink">
    <w:name w:val="Hyperlink"/>
    <w:basedOn w:val="DefaultParagraphFont"/>
    <w:uiPriority w:val="99"/>
    <w:unhideWhenUsed/>
    <w:rsid w:val="00A45192"/>
    <w:rPr>
      <w:color w:val="0563C1" w:themeColor="hyperlink"/>
      <w:u w:val="single"/>
    </w:rPr>
  </w:style>
  <w:style w:type="character" w:styleId="UnresolvedMention">
    <w:name w:val="Unresolved Mention"/>
    <w:basedOn w:val="DefaultParagraphFont"/>
    <w:uiPriority w:val="99"/>
    <w:semiHidden/>
    <w:unhideWhenUsed/>
    <w:rsid w:val="00A45192"/>
    <w:rPr>
      <w:color w:val="605E5C"/>
      <w:shd w:val="clear" w:color="auto" w:fill="E1DFDD"/>
    </w:rPr>
  </w:style>
  <w:style w:type="paragraph" w:styleId="ListParagraph">
    <w:name w:val="List Paragraph"/>
    <w:basedOn w:val="Normal"/>
    <w:uiPriority w:val="34"/>
    <w:qFormat/>
    <w:rsid w:val="00C23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5203">
      <w:bodyDiv w:val="1"/>
      <w:marLeft w:val="0"/>
      <w:marRight w:val="0"/>
      <w:marTop w:val="0"/>
      <w:marBottom w:val="0"/>
      <w:divBdr>
        <w:top w:val="none" w:sz="0" w:space="0" w:color="auto"/>
        <w:left w:val="none" w:sz="0" w:space="0" w:color="auto"/>
        <w:bottom w:val="none" w:sz="0" w:space="0" w:color="auto"/>
        <w:right w:val="none" w:sz="0" w:space="0" w:color="auto"/>
      </w:divBdr>
    </w:div>
    <w:div w:id="60905782">
      <w:bodyDiv w:val="1"/>
      <w:marLeft w:val="0"/>
      <w:marRight w:val="0"/>
      <w:marTop w:val="0"/>
      <w:marBottom w:val="0"/>
      <w:divBdr>
        <w:top w:val="none" w:sz="0" w:space="0" w:color="auto"/>
        <w:left w:val="none" w:sz="0" w:space="0" w:color="auto"/>
        <w:bottom w:val="none" w:sz="0" w:space="0" w:color="auto"/>
        <w:right w:val="none" w:sz="0" w:space="0" w:color="auto"/>
      </w:divBdr>
    </w:div>
    <w:div w:id="92170293">
      <w:bodyDiv w:val="1"/>
      <w:marLeft w:val="0"/>
      <w:marRight w:val="0"/>
      <w:marTop w:val="0"/>
      <w:marBottom w:val="0"/>
      <w:divBdr>
        <w:top w:val="none" w:sz="0" w:space="0" w:color="auto"/>
        <w:left w:val="none" w:sz="0" w:space="0" w:color="auto"/>
        <w:bottom w:val="none" w:sz="0" w:space="0" w:color="auto"/>
        <w:right w:val="none" w:sz="0" w:space="0" w:color="auto"/>
      </w:divBdr>
    </w:div>
    <w:div w:id="111678122">
      <w:bodyDiv w:val="1"/>
      <w:marLeft w:val="0"/>
      <w:marRight w:val="0"/>
      <w:marTop w:val="0"/>
      <w:marBottom w:val="0"/>
      <w:divBdr>
        <w:top w:val="none" w:sz="0" w:space="0" w:color="auto"/>
        <w:left w:val="none" w:sz="0" w:space="0" w:color="auto"/>
        <w:bottom w:val="none" w:sz="0" w:space="0" w:color="auto"/>
        <w:right w:val="none" w:sz="0" w:space="0" w:color="auto"/>
      </w:divBdr>
    </w:div>
    <w:div w:id="333610760">
      <w:bodyDiv w:val="1"/>
      <w:marLeft w:val="0"/>
      <w:marRight w:val="0"/>
      <w:marTop w:val="0"/>
      <w:marBottom w:val="0"/>
      <w:divBdr>
        <w:top w:val="none" w:sz="0" w:space="0" w:color="auto"/>
        <w:left w:val="none" w:sz="0" w:space="0" w:color="auto"/>
        <w:bottom w:val="none" w:sz="0" w:space="0" w:color="auto"/>
        <w:right w:val="none" w:sz="0" w:space="0" w:color="auto"/>
      </w:divBdr>
    </w:div>
    <w:div w:id="438768314">
      <w:bodyDiv w:val="1"/>
      <w:marLeft w:val="0"/>
      <w:marRight w:val="0"/>
      <w:marTop w:val="0"/>
      <w:marBottom w:val="0"/>
      <w:divBdr>
        <w:top w:val="none" w:sz="0" w:space="0" w:color="auto"/>
        <w:left w:val="none" w:sz="0" w:space="0" w:color="auto"/>
        <w:bottom w:val="none" w:sz="0" w:space="0" w:color="auto"/>
        <w:right w:val="none" w:sz="0" w:space="0" w:color="auto"/>
      </w:divBdr>
    </w:div>
    <w:div w:id="457377939">
      <w:bodyDiv w:val="1"/>
      <w:marLeft w:val="0"/>
      <w:marRight w:val="0"/>
      <w:marTop w:val="0"/>
      <w:marBottom w:val="0"/>
      <w:divBdr>
        <w:top w:val="none" w:sz="0" w:space="0" w:color="auto"/>
        <w:left w:val="none" w:sz="0" w:space="0" w:color="auto"/>
        <w:bottom w:val="none" w:sz="0" w:space="0" w:color="auto"/>
        <w:right w:val="none" w:sz="0" w:space="0" w:color="auto"/>
      </w:divBdr>
    </w:div>
    <w:div w:id="604312460">
      <w:bodyDiv w:val="1"/>
      <w:marLeft w:val="0"/>
      <w:marRight w:val="0"/>
      <w:marTop w:val="0"/>
      <w:marBottom w:val="0"/>
      <w:divBdr>
        <w:top w:val="none" w:sz="0" w:space="0" w:color="auto"/>
        <w:left w:val="none" w:sz="0" w:space="0" w:color="auto"/>
        <w:bottom w:val="none" w:sz="0" w:space="0" w:color="auto"/>
        <w:right w:val="none" w:sz="0" w:space="0" w:color="auto"/>
      </w:divBdr>
    </w:div>
    <w:div w:id="806171219">
      <w:bodyDiv w:val="1"/>
      <w:marLeft w:val="0"/>
      <w:marRight w:val="0"/>
      <w:marTop w:val="0"/>
      <w:marBottom w:val="0"/>
      <w:divBdr>
        <w:top w:val="none" w:sz="0" w:space="0" w:color="auto"/>
        <w:left w:val="none" w:sz="0" w:space="0" w:color="auto"/>
        <w:bottom w:val="none" w:sz="0" w:space="0" w:color="auto"/>
        <w:right w:val="none" w:sz="0" w:space="0" w:color="auto"/>
      </w:divBdr>
    </w:div>
    <w:div w:id="1253006754">
      <w:bodyDiv w:val="1"/>
      <w:marLeft w:val="0"/>
      <w:marRight w:val="0"/>
      <w:marTop w:val="0"/>
      <w:marBottom w:val="0"/>
      <w:divBdr>
        <w:top w:val="none" w:sz="0" w:space="0" w:color="auto"/>
        <w:left w:val="none" w:sz="0" w:space="0" w:color="auto"/>
        <w:bottom w:val="none" w:sz="0" w:space="0" w:color="auto"/>
        <w:right w:val="none" w:sz="0" w:space="0" w:color="auto"/>
      </w:divBdr>
    </w:div>
    <w:div w:id="1564175847">
      <w:bodyDiv w:val="1"/>
      <w:marLeft w:val="0"/>
      <w:marRight w:val="0"/>
      <w:marTop w:val="0"/>
      <w:marBottom w:val="0"/>
      <w:divBdr>
        <w:top w:val="none" w:sz="0" w:space="0" w:color="auto"/>
        <w:left w:val="none" w:sz="0" w:space="0" w:color="auto"/>
        <w:bottom w:val="none" w:sz="0" w:space="0" w:color="auto"/>
        <w:right w:val="none" w:sz="0" w:space="0" w:color="auto"/>
      </w:divBdr>
    </w:div>
    <w:div w:id="1568958462">
      <w:bodyDiv w:val="1"/>
      <w:marLeft w:val="0"/>
      <w:marRight w:val="0"/>
      <w:marTop w:val="0"/>
      <w:marBottom w:val="0"/>
      <w:divBdr>
        <w:top w:val="none" w:sz="0" w:space="0" w:color="auto"/>
        <w:left w:val="none" w:sz="0" w:space="0" w:color="auto"/>
        <w:bottom w:val="none" w:sz="0" w:space="0" w:color="auto"/>
        <w:right w:val="none" w:sz="0" w:space="0" w:color="auto"/>
      </w:divBdr>
    </w:div>
    <w:div w:id="1612862582">
      <w:bodyDiv w:val="1"/>
      <w:marLeft w:val="0"/>
      <w:marRight w:val="0"/>
      <w:marTop w:val="0"/>
      <w:marBottom w:val="0"/>
      <w:divBdr>
        <w:top w:val="none" w:sz="0" w:space="0" w:color="auto"/>
        <w:left w:val="none" w:sz="0" w:space="0" w:color="auto"/>
        <w:bottom w:val="none" w:sz="0" w:space="0" w:color="auto"/>
        <w:right w:val="none" w:sz="0" w:space="0" w:color="auto"/>
      </w:divBdr>
    </w:div>
    <w:div w:id="1733580594">
      <w:bodyDiv w:val="1"/>
      <w:marLeft w:val="0"/>
      <w:marRight w:val="0"/>
      <w:marTop w:val="0"/>
      <w:marBottom w:val="0"/>
      <w:divBdr>
        <w:top w:val="none" w:sz="0" w:space="0" w:color="auto"/>
        <w:left w:val="none" w:sz="0" w:space="0" w:color="auto"/>
        <w:bottom w:val="none" w:sz="0" w:space="0" w:color="auto"/>
        <w:right w:val="none" w:sz="0" w:space="0" w:color="auto"/>
      </w:divBdr>
    </w:div>
    <w:div w:id="1740979457">
      <w:bodyDiv w:val="1"/>
      <w:marLeft w:val="0"/>
      <w:marRight w:val="0"/>
      <w:marTop w:val="0"/>
      <w:marBottom w:val="0"/>
      <w:divBdr>
        <w:top w:val="none" w:sz="0" w:space="0" w:color="auto"/>
        <w:left w:val="none" w:sz="0" w:space="0" w:color="auto"/>
        <w:bottom w:val="none" w:sz="0" w:space="0" w:color="auto"/>
        <w:right w:val="none" w:sz="0" w:space="0" w:color="auto"/>
      </w:divBdr>
    </w:div>
    <w:div w:id="194106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ardofed.idaho.gov/resources/idaho-standards-for-initial-certification-of-professional-school-personne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30cd09-2ac3-4cad-a6d9-be2369775210">
      <Terms xmlns="http://schemas.microsoft.com/office/infopath/2007/PartnerControls"/>
    </lcf76f155ced4ddcb4097134ff3c332f>
    <TaxCatchAll xmlns="92a12584-5af5-4422-add7-8fd783180d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76B58C2B5DFA4DA88C8C047C9B59D9" ma:contentTypeVersion="12" ma:contentTypeDescription="Create a new document." ma:contentTypeScope="" ma:versionID="8e4a8ea144b91a768c482e44ce7f224e">
  <xsd:schema xmlns:xsd="http://www.w3.org/2001/XMLSchema" xmlns:xs="http://www.w3.org/2001/XMLSchema" xmlns:p="http://schemas.microsoft.com/office/2006/metadata/properties" xmlns:ns2="c230cd09-2ac3-4cad-a6d9-be2369775210" xmlns:ns3="92a12584-5af5-4422-add7-8fd783180dea" targetNamespace="http://schemas.microsoft.com/office/2006/metadata/properties" ma:root="true" ma:fieldsID="e41b9d294564b7fb2eeb50ffbe0e9d24" ns2:_="" ns3:_="">
    <xsd:import namespace="c230cd09-2ac3-4cad-a6d9-be2369775210"/>
    <xsd:import namespace="92a12584-5af5-4422-add7-8fd783180d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0cd09-2ac3-4cad-a6d9-be236977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12584-5af5-4422-add7-8fd783180d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ae05e-3c1b-49fc-b8ff-144a32be3d2e}" ma:internalName="TaxCatchAll" ma:showField="CatchAllData" ma:web="92a12584-5af5-4422-add7-8fd783180d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FCE7-59A1-4EC6-BC91-2C919E705A0E}">
  <ds:schemaRef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92a12584-5af5-4422-add7-8fd783180dea"/>
    <ds:schemaRef ds:uri="http://purl.org/dc/elements/1.1/"/>
    <ds:schemaRef ds:uri="c230cd09-2ac3-4cad-a6d9-be236977521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2B11E53-1FB3-4C32-B7A7-F7D1A4927AF2}">
  <ds:schemaRefs>
    <ds:schemaRef ds:uri="http://schemas.microsoft.com/sharepoint/v3/contenttype/forms"/>
  </ds:schemaRefs>
</ds:datastoreItem>
</file>

<file path=customXml/itemProps3.xml><?xml version="1.0" encoding="utf-8"?>
<ds:datastoreItem xmlns:ds="http://schemas.openxmlformats.org/officeDocument/2006/customXml" ds:itemID="{18FE514C-E66D-4188-A75E-5DB2DF2D0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0cd09-2ac3-4cad-a6d9-be2369775210"/>
    <ds:schemaRef ds:uri="92a12584-5af5-4422-add7-8fd783180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1721E0-9308-4922-A3C8-DB3D5824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2378</Words>
  <Characters>13556</Characters>
  <Application>Microsoft Office Word</Application>
  <DocSecurity>0</DocSecurity>
  <Lines>112</Lines>
  <Paragraphs>31</Paragraphs>
  <ScaleCrop>false</ScaleCrop>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Raney, Taylor (tcraney@uidaho.edu)</dc:creator>
  <cp:keywords/>
  <dc:description/>
  <cp:lastModifiedBy>Megan ORourke</cp:lastModifiedBy>
  <cp:revision>2</cp:revision>
  <cp:lastPrinted>2024-04-24T19:39:00Z</cp:lastPrinted>
  <dcterms:created xsi:type="dcterms:W3CDTF">2026-07-22T18:50:00Z</dcterms:created>
  <dcterms:modified xsi:type="dcterms:W3CDTF">2026-07-22T18:50:00Z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0x0101004776B58C2B5DFA4DA88C8C047C9B59D9</vt:lpwstr>
  </property>
  <property fmtid="{D5CDD505-2E9C-101B-9397-08002B2CF9AE}" pid="3" name="MediaServiceImageTags">
    <vt:lpwstr/>
  </property>
  <property fmtid="{D5CDD505-2E9C-101B-9397-08002B2CF9AE}" pid="4" name="GrammarlyDocumentId">
    <vt:lpwstr>0448ca04-e658-45b2-8049-27a6242b8e09</vt:lpwstr>
  </property>
</Properties>
</file>